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0B" w:rsidRDefault="00E9650B" w:rsidP="00E9650B">
      <w:pPr>
        <w:shd w:val="clear" w:color="auto" w:fill="FFFFFF"/>
        <w:spacing w:after="0" w:line="288" w:lineRule="atLeast"/>
        <w:rPr>
          <w:rFonts w:ascii="Nobile" w:eastAsia="Times New Roman" w:hAnsi="Nobile" w:cs="Arial"/>
          <w:color w:val="666666"/>
          <w:spacing w:val="-19"/>
          <w:sz w:val="33"/>
          <w:szCs w:val="39"/>
        </w:rPr>
      </w:pPr>
      <w:r>
        <w:rPr>
          <w:rFonts w:ascii="Nobile" w:eastAsia="Times New Roman" w:hAnsi="Nobile" w:cs="Arial"/>
          <w:color w:val="666666"/>
          <w:spacing w:val="-19"/>
          <w:sz w:val="33"/>
          <w:szCs w:val="39"/>
        </w:rPr>
        <w:t>Future of Nursing: Campaign for Action</w:t>
      </w:r>
    </w:p>
    <w:p w:rsidR="00E9650B" w:rsidRDefault="00E9650B" w:rsidP="00E9650B">
      <w:pPr>
        <w:shd w:val="clear" w:color="auto" w:fill="FFFFFF"/>
        <w:spacing w:after="0" w:line="288" w:lineRule="atLeast"/>
        <w:rPr>
          <w:rFonts w:ascii="Nobile" w:eastAsia="Times New Roman" w:hAnsi="Nobile" w:cs="Arial"/>
          <w:color w:val="666666"/>
          <w:spacing w:val="-19"/>
          <w:sz w:val="33"/>
          <w:szCs w:val="39"/>
        </w:rPr>
      </w:pPr>
      <w:r>
        <w:rPr>
          <w:rFonts w:ascii="Nobile" w:eastAsia="Times New Roman" w:hAnsi="Nobile" w:cs="Arial"/>
          <w:color w:val="666666"/>
          <w:spacing w:val="-19"/>
          <w:sz w:val="33"/>
          <w:szCs w:val="39"/>
        </w:rPr>
        <w:t>IOM RECOMMENDATIONS (2010)</w:t>
      </w:r>
      <w:bookmarkStart w:id="0" w:name="_GoBack"/>
      <w:bookmarkEnd w:id="0"/>
    </w:p>
    <w:p w:rsidR="00E9650B" w:rsidRDefault="00E9650B" w:rsidP="00E9650B">
      <w:pPr>
        <w:shd w:val="clear" w:color="auto" w:fill="FFFFFF"/>
        <w:spacing w:after="0" w:line="288" w:lineRule="atLeast"/>
        <w:rPr>
          <w:rFonts w:ascii="Nobile" w:eastAsia="Times New Roman" w:hAnsi="Nobile" w:cs="Arial"/>
          <w:color w:val="666666"/>
          <w:spacing w:val="-19"/>
          <w:sz w:val="33"/>
          <w:szCs w:val="39"/>
        </w:rPr>
      </w:pPr>
    </w:p>
    <w:p w:rsidR="00E9650B" w:rsidRPr="00E9650B" w:rsidRDefault="00E9650B" w:rsidP="00E9650B">
      <w:pPr>
        <w:shd w:val="clear" w:color="auto" w:fill="FFFFFF"/>
        <w:spacing w:after="0" w:line="288" w:lineRule="atLeast"/>
        <w:rPr>
          <w:rFonts w:ascii="Nobile" w:eastAsia="Times New Roman" w:hAnsi="Nobile" w:cs="Arial"/>
          <w:color w:val="666666"/>
          <w:spacing w:val="-19"/>
          <w:sz w:val="33"/>
          <w:szCs w:val="39"/>
        </w:rPr>
      </w:pPr>
      <w:hyperlink r:id="rId5" w:history="1">
        <w:r w:rsidRPr="00E9650B">
          <w:rPr>
            <w:rFonts w:ascii="Nobile" w:eastAsia="Times New Roman" w:hAnsi="Nobile" w:cs="Arial"/>
            <w:color w:val="047EB1"/>
            <w:spacing w:val="-19"/>
            <w:sz w:val="33"/>
            <w:szCs w:val="39"/>
          </w:rPr>
          <w:t>Recommendation 1: Remove scope-of-practice barriers.</w:t>
        </w:r>
      </w:hyperlink>
    </w:p>
    <w:p w:rsidR="00E9650B" w:rsidRPr="00E9650B" w:rsidRDefault="00E9650B" w:rsidP="00E9650B">
      <w:pPr>
        <w:shd w:val="clear" w:color="auto" w:fill="FFFFFF"/>
        <w:spacing w:line="336" w:lineRule="atLeast"/>
        <w:rPr>
          <w:rFonts w:ascii="Arial" w:eastAsia="Times New Roman" w:hAnsi="Arial" w:cs="Arial"/>
          <w:color w:val="666666"/>
          <w:sz w:val="16"/>
          <w:szCs w:val="21"/>
        </w:rPr>
      </w:pPr>
      <w:r w:rsidRPr="00E9650B">
        <w:rPr>
          <w:rFonts w:ascii="Arial" w:eastAsia="Times New Roman" w:hAnsi="Arial" w:cs="Arial"/>
          <w:color w:val="666666"/>
          <w:sz w:val="16"/>
          <w:szCs w:val="21"/>
        </w:rPr>
        <w:t>Advanced practice registered nurses should be able to practice to the full extent of their education and training.</w:t>
      </w:r>
    </w:p>
    <w:p w:rsidR="00E9650B" w:rsidRPr="00E9650B" w:rsidRDefault="00E9650B" w:rsidP="00E9650B">
      <w:pPr>
        <w:shd w:val="clear" w:color="auto" w:fill="FFFFFF"/>
        <w:spacing w:after="0" w:line="288" w:lineRule="atLeast"/>
        <w:rPr>
          <w:rFonts w:ascii="Nobile" w:eastAsia="Times New Roman" w:hAnsi="Nobile" w:cs="Arial"/>
          <w:color w:val="666666"/>
          <w:spacing w:val="-19"/>
          <w:sz w:val="33"/>
          <w:szCs w:val="39"/>
        </w:rPr>
      </w:pPr>
      <w:hyperlink r:id="rId6" w:history="1">
        <w:r w:rsidRPr="00E9650B">
          <w:rPr>
            <w:rFonts w:ascii="Nobile" w:eastAsia="Times New Roman" w:hAnsi="Nobile" w:cs="Arial"/>
            <w:color w:val="047EB1"/>
            <w:spacing w:val="-19"/>
            <w:sz w:val="33"/>
            <w:szCs w:val="39"/>
          </w:rPr>
          <w:t>Recommendation 2: Expand opportunities for nurses to lead and diffuse collaborative improvement efforts.</w:t>
        </w:r>
      </w:hyperlink>
    </w:p>
    <w:p w:rsidR="00E9650B" w:rsidRPr="00E9650B" w:rsidRDefault="00E9650B" w:rsidP="00E9650B">
      <w:pPr>
        <w:shd w:val="clear" w:color="auto" w:fill="FFFFFF"/>
        <w:spacing w:line="336" w:lineRule="atLeast"/>
        <w:rPr>
          <w:rFonts w:ascii="Arial" w:eastAsia="Times New Roman" w:hAnsi="Arial" w:cs="Arial"/>
          <w:color w:val="666666"/>
          <w:sz w:val="16"/>
          <w:szCs w:val="21"/>
        </w:rPr>
      </w:pPr>
      <w:r w:rsidRPr="00E9650B">
        <w:rPr>
          <w:rFonts w:ascii="Arial" w:eastAsia="Times New Roman" w:hAnsi="Arial" w:cs="Arial"/>
          <w:color w:val="666666"/>
          <w:sz w:val="16"/>
          <w:szCs w:val="21"/>
        </w:rPr>
        <w:t>Private and public funders, health care organizations, nursing education programs, and nursing associations should expand opportunities for nurses to lead and manage collaborative efforts with physicians and other members of the health care team to conduct research and to redesign and improve practice environments and health systems. These entities should also provide opportunities for nurses to diffuse successful practices.</w:t>
      </w:r>
    </w:p>
    <w:p w:rsidR="00E9650B" w:rsidRPr="00E9650B" w:rsidRDefault="00E9650B" w:rsidP="00E9650B">
      <w:pPr>
        <w:shd w:val="clear" w:color="auto" w:fill="FFFFFF"/>
        <w:spacing w:after="0" w:line="288" w:lineRule="atLeast"/>
        <w:rPr>
          <w:rFonts w:ascii="Nobile" w:eastAsia="Times New Roman" w:hAnsi="Nobile" w:cs="Arial"/>
          <w:color w:val="666666"/>
          <w:spacing w:val="-19"/>
          <w:sz w:val="33"/>
          <w:szCs w:val="39"/>
        </w:rPr>
      </w:pPr>
      <w:hyperlink r:id="rId7" w:history="1">
        <w:r w:rsidRPr="00E9650B">
          <w:rPr>
            <w:rFonts w:ascii="Nobile" w:eastAsia="Times New Roman" w:hAnsi="Nobile" w:cs="Arial"/>
            <w:color w:val="047EB1"/>
            <w:spacing w:val="-19"/>
            <w:sz w:val="33"/>
            <w:szCs w:val="39"/>
          </w:rPr>
          <w:t>Recommendation 3: Implement nurse residency programs.</w:t>
        </w:r>
      </w:hyperlink>
    </w:p>
    <w:p w:rsidR="00E9650B" w:rsidRPr="00E9650B" w:rsidRDefault="00E9650B" w:rsidP="00E9650B">
      <w:pPr>
        <w:shd w:val="clear" w:color="auto" w:fill="FFFFFF"/>
        <w:spacing w:line="336" w:lineRule="atLeast"/>
        <w:rPr>
          <w:rFonts w:ascii="Arial" w:eastAsia="Times New Roman" w:hAnsi="Arial" w:cs="Arial"/>
          <w:color w:val="666666"/>
          <w:sz w:val="16"/>
          <w:szCs w:val="21"/>
        </w:rPr>
      </w:pPr>
      <w:r w:rsidRPr="00E9650B">
        <w:rPr>
          <w:rFonts w:ascii="Arial" w:eastAsia="Times New Roman" w:hAnsi="Arial" w:cs="Arial"/>
          <w:color w:val="666666"/>
          <w:sz w:val="16"/>
          <w:szCs w:val="21"/>
        </w:rPr>
        <w:t xml:space="preserve">State boards of nursing, accrediting bodies, the federal government, and health care organizations should take actions to support nurses’ completion of a transition-to-practice program (nurse residency) after they have completed a </w:t>
      </w:r>
      <w:proofErr w:type="spellStart"/>
      <w:r w:rsidRPr="00E9650B">
        <w:rPr>
          <w:rFonts w:ascii="Arial" w:eastAsia="Times New Roman" w:hAnsi="Arial" w:cs="Arial"/>
          <w:color w:val="666666"/>
          <w:sz w:val="16"/>
          <w:szCs w:val="21"/>
        </w:rPr>
        <w:t>prelicensure</w:t>
      </w:r>
      <w:proofErr w:type="spellEnd"/>
      <w:r w:rsidRPr="00E9650B">
        <w:rPr>
          <w:rFonts w:ascii="Arial" w:eastAsia="Times New Roman" w:hAnsi="Arial" w:cs="Arial"/>
          <w:color w:val="666666"/>
          <w:sz w:val="16"/>
          <w:szCs w:val="21"/>
        </w:rPr>
        <w:t xml:space="preserve"> or advanced practice degree program or when they are transitioning into new clinical practice areas.   </w:t>
      </w:r>
    </w:p>
    <w:p w:rsidR="00E9650B" w:rsidRPr="00E9650B" w:rsidRDefault="00E9650B" w:rsidP="00E9650B">
      <w:pPr>
        <w:shd w:val="clear" w:color="auto" w:fill="FFFFFF"/>
        <w:spacing w:after="0" w:line="288" w:lineRule="atLeast"/>
        <w:rPr>
          <w:rFonts w:ascii="Nobile" w:eastAsia="Times New Roman" w:hAnsi="Nobile" w:cs="Arial"/>
          <w:color w:val="666666"/>
          <w:spacing w:val="-19"/>
          <w:sz w:val="33"/>
          <w:szCs w:val="39"/>
        </w:rPr>
      </w:pPr>
      <w:hyperlink r:id="rId8" w:history="1">
        <w:r w:rsidRPr="00E9650B">
          <w:rPr>
            <w:rFonts w:ascii="Nobile" w:eastAsia="Times New Roman" w:hAnsi="Nobile" w:cs="Arial"/>
            <w:color w:val="047EB1"/>
            <w:spacing w:val="-19"/>
            <w:sz w:val="33"/>
            <w:szCs w:val="39"/>
          </w:rPr>
          <w:t>Recommendation 4: Increase the proportion of nurses with a baccalaureate degree to 80 percent by 2020.</w:t>
        </w:r>
      </w:hyperlink>
    </w:p>
    <w:p w:rsidR="00E9650B" w:rsidRPr="00E9650B" w:rsidRDefault="00E9650B" w:rsidP="00E9650B">
      <w:pPr>
        <w:shd w:val="clear" w:color="auto" w:fill="FFFFFF"/>
        <w:spacing w:line="336" w:lineRule="atLeast"/>
        <w:rPr>
          <w:rFonts w:ascii="Arial" w:eastAsia="Times New Roman" w:hAnsi="Arial" w:cs="Arial"/>
          <w:color w:val="666666"/>
          <w:sz w:val="16"/>
          <w:szCs w:val="21"/>
        </w:rPr>
      </w:pPr>
      <w:r w:rsidRPr="00E9650B">
        <w:rPr>
          <w:rFonts w:ascii="Arial" w:eastAsia="Times New Roman" w:hAnsi="Arial" w:cs="Arial"/>
          <w:color w:val="666666"/>
          <w:sz w:val="16"/>
          <w:szCs w:val="21"/>
        </w:rPr>
        <w:t>Academic nurse leaders across all schools of nursing should work together to increase the proportion of nurses with a baccalaureate degree from 50 to 80 percent by 2020. These leaders should partner with education accrediting bodies, private and public funders, and employers to ensure funding, monitor progress, and increase the diversity of students to create a workforce prepared to meet the demands of diverse populations across the lifespan.</w:t>
      </w:r>
    </w:p>
    <w:p w:rsidR="00E9650B" w:rsidRPr="00E9650B" w:rsidRDefault="00E9650B" w:rsidP="00E9650B">
      <w:pPr>
        <w:shd w:val="clear" w:color="auto" w:fill="FFFFFF"/>
        <w:spacing w:after="0" w:line="288" w:lineRule="atLeast"/>
        <w:rPr>
          <w:rFonts w:ascii="Nobile" w:eastAsia="Times New Roman" w:hAnsi="Nobile" w:cs="Arial"/>
          <w:color w:val="666666"/>
          <w:spacing w:val="-19"/>
          <w:sz w:val="33"/>
          <w:szCs w:val="39"/>
        </w:rPr>
      </w:pPr>
      <w:hyperlink r:id="rId9" w:history="1">
        <w:r w:rsidRPr="00E9650B">
          <w:rPr>
            <w:rFonts w:ascii="Nobile" w:eastAsia="Times New Roman" w:hAnsi="Nobile" w:cs="Arial"/>
            <w:color w:val="047EB1"/>
            <w:spacing w:val="-19"/>
            <w:sz w:val="33"/>
            <w:szCs w:val="39"/>
          </w:rPr>
          <w:t>Recommendation 5: Double the number of nurses with a doctorate by 2020.</w:t>
        </w:r>
      </w:hyperlink>
    </w:p>
    <w:p w:rsidR="00E9650B" w:rsidRPr="00E9650B" w:rsidRDefault="00E9650B" w:rsidP="00E9650B">
      <w:pPr>
        <w:shd w:val="clear" w:color="auto" w:fill="FFFFFF"/>
        <w:spacing w:line="336" w:lineRule="atLeast"/>
        <w:rPr>
          <w:rFonts w:ascii="Arial" w:eastAsia="Times New Roman" w:hAnsi="Arial" w:cs="Arial"/>
          <w:color w:val="666666"/>
          <w:sz w:val="16"/>
          <w:szCs w:val="21"/>
        </w:rPr>
      </w:pPr>
      <w:r w:rsidRPr="00E9650B">
        <w:rPr>
          <w:rFonts w:ascii="Arial" w:eastAsia="Times New Roman" w:hAnsi="Arial" w:cs="Arial"/>
          <w:color w:val="666666"/>
          <w:sz w:val="16"/>
          <w:szCs w:val="21"/>
        </w:rPr>
        <w:t>Schools of nursing, with support from private and public funders, academic administrators and university trustees, and accrediting bodies, should double the number of nurses with a doctorate by 2020 to add to the cadre of nurse faculty and researchers, with attention to increasing diversity.</w:t>
      </w:r>
    </w:p>
    <w:p w:rsidR="00E9650B" w:rsidRPr="00E9650B" w:rsidRDefault="00E9650B" w:rsidP="00E9650B">
      <w:pPr>
        <w:shd w:val="clear" w:color="auto" w:fill="FFFFFF"/>
        <w:spacing w:after="0" w:line="288" w:lineRule="atLeast"/>
        <w:rPr>
          <w:rFonts w:ascii="Nobile" w:eastAsia="Times New Roman" w:hAnsi="Nobile" w:cs="Arial"/>
          <w:color w:val="666666"/>
          <w:spacing w:val="-19"/>
          <w:sz w:val="33"/>
          <w:szCs w:val="39"/>
        </w:rPr>
      </w:pPr>
      <w:hyperlink r:id="rId10" w:history="1">
        <w:r w:rsidRPr="00E9650B">
          <w:rPr>
            <w:rFonts w:ascii="Nobile" w:eastAsia="Times New Roman" w:hAnsi="Nobile" w:cs="Arial"/>
            <w:color w:val="047EB1"/>
            <w:spacing w:val="-19"/>
            <w:sz w:val="33"/>
            <w:szCs w:val="39"/>
          </w:rPr>
          <w:t>Recommendation 6: Ensure that nurses engage in lifelong learning.</w:t>
        </w:r>
      </w:hyperlink>
    </w:p>
    <w:p w:rsidR="00E9650B" w:rsidRPr="00E9650B" w:rsidRDefault="00E9650B" w:rsidP="00E9650B">
      <w:pPr>
        <w:shd w:val="clear" w:color="auto" w:fill="FFFFFF"/>
        <w:spacing w:line="336" w:lineRule="atLeast"/>
        <w:rPr>
          <w:rFonts w:ascii="Arial" w:eastAsia="Times New Roman" w:hAnsi="Arial" w:cs="Arial"/>
          <w:color w:val="666666"/>
          <w:sz w:val="16"/>
          <w:szCs w:val="21"/>
        </w:rPr>
      </w:pPr>
      <w:r w:rsidRPr="00E9650B">
        <w:rPr>
          <w:rFonts w:ascii="Arial" w:eastAsia="Times New Roman" w:hAnsi="Arial" w:cs="Arial"/>
          <w:color w:val="666666"/>
          <w:sz w:val="16"/>
          <w:szCs w:val="21"/>
        </w:rPr>
        <w:t> Accrediting bodies, schools of nursing, health care organizations, and continuing competency educators from multiple health professions should collaborate to ensure that nurses and nursing students and faculty continue their education and engage in lifelong learning to gain the competencies needed to provide care for diverse populations across the lifespan.</w:t>
      </w:r>
    </w:p>
    <w:p w:rsidR="00E9650B" w:rsidRPr="00E9650B" w:rsidRDefault="00E9650B" w:rsidP="00E9650B">
      <w:pPr>
        <w:shd w:val="clear" w:color="auto" w:fill="FFFFFF"/>
        <w:spacing w:after="0" w:line="288" w:lineRule="atLeast"/>
        <w:rPr>
          <w:rFonts w:ascii="Nobile" w:eastAsia="Times New Roman" w:hAnsi="Nobile" w:cs="Arial"/>
          <w:color w:val="666666"/>
          <w:spacing w:val="-19"/>
          <w:sz w:val="33"/>
          <w:szCs w:val="39"/>
        </w:rPr>
      </w:pPr>
      <w:hyperlink r:id="rId11" w:history="1">
        <w:r w:rsidRPr="00E9650B">
          <w:rPr>
            <w:rFonts w:ascii="Nobile" w:eastAsia="Times New Roman" w:hAnsi="Nobile" w:cs="Arial"/>
            <w:color w:val="047EB1"/>
            <w:spacing w:val="-19"/>
            <w:sz w:val="33"/>
            <w:szCs w:val="39"/>
          </w:rPr>
          <w:t>Recommendation 7: Prepare and enable nurses to lead change to advance health.</w:t>
        </w:r>
      </w:hyperlink>
    </w:p>
    <w:p w:rsidR="00E9650B" w:rsidRPr="00E9650B" w:rsidRDefault="00E9650B" w:rsidP="00E9650B">
      <w:pPr>
        <w:shd w:val="clear" w:color="auto" w:fill="FFFFFF"/>
        <w:spacing w:line="336" w:lineRule="atLeast"/>
        <w:rPr>
          <w:rFonts w:ascii="Arial" w:eastAsia="Times New Roman" w:hAnsi="Arial" w:cs="Arial"/>
          <w:color w:val="666666"/>
          <w:sz w:val="16"/>
          <w:szCs w:val="21"/>
        </w:rPr>
      </w:pPr>
      <w:r w:rsidRPr="00E9650B">
        <w:rPr>
          <w:rFonts w:ascii="Arial" w:eastAsia="Times New Roman" w:hAnsi="Arial" w:cs="Arial"/>
          <w:color w:val="666666"/>
          <w:sz w:val="16"/>
          <w:szCs w:val="21"/>
        </w:rPr>
        <w:t>Nurses, nursing education programs, and nursing associations should prepare the nursing workforce to assume leadership positions across all levels, while public, private, and governmental health care decision makers should ensure that leadership positions are available to and filled by nurses.</w:t>
      </w:r>
    </w:p>
    <w:p w:rsidR="00E9650B" w:rsidRPr="00E9650B" w:rsidRDefault="00E9650B" w:rsidP="00E9650B">
      <w:pPr>
        <w:shd w:val="clear" w:color="auto" w:fill="FFFFFF"/>
        <w:spacing w:after="0" w:line="288" w:lineRule="atLeast"/>
        <w:rPr>
          <w:rFonts w:ascii="Nobile" w:eastAsia="Times New Roman" w:hAnsi="Nobile" w:cs="Arial"/>
          <w:color w:val="666666"/>
          <w:spacing w:val="-19"/>
          <w:sz w:val="33"/>
          <w:szCs w:val="39"/>
        </w:rPr>
      </w:pPr>
      <w:hyperlink r:id="rId12" w:history="1">
        <w:r w:rsidRPr="00E9650B">
          <w:rPr>
            <w:rFonts w:ascii="Nobile" w:eastAsia="Times New Roman" w:hAnsi="Nobile" w:cs="Arial"/>
            <w:color w:val="047EB1"/>
            <w:spacing w:val="-19"/>
            <w:sz w:val="33"/>
            <w:szCs w:val="39"/>
          </w:rPr>
          <w:t xml:space="preserve">Recommendation 8: Build an infrastructure for the collection and analysis of </w:t>
        </w:r>
        <w:proofErr w:type="spellStart"/>
        <w:r w:rsidRPr="00E9650B">
          <w:rPr>
            <w:rFonts w:ascii="Nobile" w:eastAsia="Times New Roman" w:hAnsi="Nobile" w:cs="Arial"/>
            <w:color w:val="047EB1"/>
            <w:spacing w:val="-19"/>
            <w:sz w:val="33"/>
            <w:szCs w:val="39"/>
          </w:rPr>
          <w:t>interprofessional</w:t>
        </w:r>
        <w:proofErr w:type="spellEnd"/>
        <w:r w:rsidRPr="00E9650B">
          <w:rPr>
            <w:rFonts w:ascii="Nobile" w:eastAsia="Times New Roman" w:hAnsi="Nobile" w:cs="Arial"/>
            <w:color w:val="047EB1"/>
            <w:spacing w:val="-19"/>
            <w:sz w:val="33"/>
            <w:szCs w:val="39"/>
          </w:rPr>
          <w:t xml:space="preserve"> health care workforce data.</w:t>
        </w:r>
      </w:hyperlink>
    </w:p>
    <w:p w:rsidR="00E9650B" w:rsidRPr="00E9650B" w:rsidRDefault="00E9650B" w:rsidP="00E9650B">
      <w:pPr>
        <w:shd w:val="clear" w:color="auto" w:fill="FFFFFF"/>
        <w:spacing w:line="336" w:lineRule="atLeast"/>
        <w:rPr>
          <w:rFonts w:ascii="Arial" w:eastAsia="Times New Roman" w:hAnsi="Arial" w:cs="Arial"/>
          <w:color w:val="666666"/>
          <w:sz w:val="16"/>
          <w:szCs w:val="21"/>
        </w:rPr>
      </w:pPr>
      <w:r w:rsidRPr="00E9650B">
        <w:rPr>
          <w:rFonts w:ascii="Arial" w:eastAsia="Times New Roman" w:hAnsi="Arial" w:cs="Arial"/>
          <w:color w:val="666666"/>
          <w:sz w:val="16"/>
          <w:szCs w:val="21"/>
        </w:rPr>
        <w:t>The National Health Care Workforce Commission, with oversight from the Government Accountability Office and the Health Resources and Services Administration, should lead a collaborative effort to improve research and the collection and analysis of data on health care workforce requirements. The Workforce Commission and the Health Resources and Services Administration should collaborate with state licensing boards, state nursing workforce centers, and the Department of Labor in this effort to ensure that the data are timely and publicly accessible.</w:t>
      </w:r>
    </w:p>
    <w:p w:rsidR="004D321F" w:rsidRPr="00E9650B" w:rsidRDefault="004D321F">
      <w:pPr>
        <w:rPr>
          <w:sz w:val="16"/>
        </w:rPr>
      </w:pPr>
    </w:p>
    <w:sectPr w:rsidR="004D321F" w:rsidRPr="00E9650B" w:rsidSect="00E965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bil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0B"/>
    <w:rsid w:val="004D321F"/>
    <w:rsid w:val="00E9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content">
    <w:name w:val="field-content"/>
    <w:basedOn w:val="DefaultParagraphFont"/>
    <w:rsid w:val="00E9650B"/>
  </w:style>
  <w:style w:type="character" w:styleId="Hyperlink">
    <w:name w:val="Hyperlink"/>
    <w:basedOn w:val="DefaultParagraphFont"/>
    <w:uiPriority w:val="99"/>
    <w:semiHidden/>
    <w:unhideWhenUsed/>
    <w:rsid w:val="00E9650B"/>
    <w:rPr>
      <w:color w:val="0000FF"/>
      <w:u w:val="single"/>
    </w:rPr>
  </w:style>
  <w:style w:type="paragraph" w:styleId="NormalWeb">
    <w:name w:val="Normal (Web)"/>
    <w:basedOn w:val="Normal"/>
    <w:uiPriority w:val="99"/>
    <w:semiHidden/>
    <w:unhideWhenUsed/>
    <w:rsid w:val="00E965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content">
    <w:name w:val="field-content"/>
    <w:basedOn w:val="DefaultParagraphFont"/>
    <w:rsid w:val="00E9650B"/>
  </w:style>
  <w:style w:type="character" w:styleId="Hyperlink">
    <w:name w:val="Hyperlink"/>
    <w:basedOn w:val="DefaultParagraphFont"/>
    <w:uiPriority w:val="99"/>
    <w:semiHidden/>
    <w:unhideWhenUsed/>
    <w:rsid w:val="00E9650B"/>
    <w:rPr>
      <w:color w:val="0000FF"/>
      <w:u w:val="single"/>
    </w:rPr>
  </w:style>
  <w:style w:type="paragraph" w:styleId="NormalWeb">
    <w:name w:val="Normal (Web)"/>
    <w:basedOn w:val="Normal"/>
    <w:uiPriority w:val="99"/>
    <w:semiHidden/>
    <w:unhideWhenUsed/>
    <w:rsid w:val="00E965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3500861">
          <w:marLeft w:val="0"/>
          <w:marRight w:val="0"/>
          <w:marTop w:val="0"/>
          <w:marBottom w:val="600"/>
          <w:divBdr>
            <w:top w:val="none" w:sz="0" w:space="0" w:color="auto"/>
            <w:left w:val="none" w:sz="0" w:space="0" w:color="auto"/>
            <w:bottom w:val="none" w:sz="0" w:space="0" w:color="auto"/>
            <w:right w:val="none" w:sz="0" w:space="0" w:color="auto"/>
          </w:divBdr>
          <w:divsChild>
            <w:div w:id="1884367032">
              <w:marLeft w:val="285"/>
              <w:marRight w:val="0"/>
              <w:marTop w:val="0"/>
              <w:marBottom w:val="0"/>
              <w:divBdr>
                <w:top w:val="none" w:sz="0" w:space="0" w:color="auto"/>
                <w:left w:val="none" w:sz="0" w:space="0" w:color="auto"/>
                <w:bottom w:val="none" w:sz="0" w:space="0" w:color="auto"/>
                <w:right w:val="none" w:sz="0" w:space="0" w:color="auto"/>
              </w:divBdr>
            </w:div>
            <w:div w:id="842816294">
              <w:marLeft w:val="285"/>
              <w:marRight w:val="0"/>
              <w:marTop w:val="0"/>
              <w:marBottom w:val="0"/>
              <w:divBdr>
                <w:top w:val="none" w:sz="0" w:space="0" w:color="auto"/>
                <w:left w:val="none" w:sz="0" w:space="0" w:color="auto"/>
                <w:bottom w:val="none" w:sz="0" w:space="0" w:color="auto"/>
                <w:right w:val="none" w:sz="0" w:space="0" w:color="auto"/>
              </w:divBdr>
              <w:divsChild>
                <w:div w:id="9732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9715">
          <w:marLeft w:val="0"/>
          <w:marRight w:val="0"/>
          <w:marTop w:val="0"/>
          <w:marBottom w:val="600"/>
          <w:divBdr>
            <w:top w:val="none" w:sz="0" w:space="0" w:color="auto"/>
            <w:left w:val="none" w:sz="0" w:space="0" w:color="auto"/>
            <w:bottom w:val="none" w:sz="0" w:space="0" w:color="auto"/>
            <w:right w:val="none" w:sz="0" w:space="0" w:color="auto"/>
          </w:divBdr>
          <w:divsChild>
            <w:div w:id="697656269">
              <w:marLeft w:val="285"/>
              <w:marRight w:val="0"/>
              <w:marTop w:val="0"/>
              <w:marBottom w:val="0"/>
              <w:divBdr>
                <w:top w:val="none" w:sz="0" w:space="0" w:color="auto"/>
                <w:left w:val="none" w:sz="0" w:space="0" w:color="auto"/>
                <w:bottom w:val="none" w:sz="0" w:space="0" w:color="auto"/>
                <w:right w:val="none" w:sz="0" w:space="0" w:color="auto"/>
              </w:divBdr>
            </w:div>
            <w:div w:id="529415565">
              <w:marLeft w:val="285"/>
              <w:marRight w:val="0"/>
              <w:marTop w:val="0"/>
              <w:marBottom w:val="0"/>
              <w:divBdr>
                <w:top w:val="none" w:sz="0" w:space="0" w:color="auto"/>
                <w:left w:val="none" w:sz="0" w:space="0" w:color="auto"/>
                <w:bottom w:val="none" w:sz="0" w:space="0" w:color="auto"/>
                <w:right w:val="none" w:sz="0" w:space="0" w:color="auto"/>
              </w:divBdr>
              <w:divsChild>
                <w:div w:id="13627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1881">
          <w:marLeft w:val="0"/>
          <w:marRight w:val="0"/>
          <w:marTop w:val="0"/>
          <w:marBottom w:val="600"/>
          <w:divBdr>
            <w:top w:val="none" w:sz="0" w:space="0" w:color="auto"/>
            <w:left w:val="none" w:sz="0" w:space="0" w:color="auto"/>
            <w:bottom w:val="none" w:sz="0" w:space="0" w:color="auto"/>
            <w:right w:val="none" w:sz="0" w:space="0" w:color="auto"/>
          </w:divBdr>
          <w:divsChild>
            <w:div w:id="935938150">
              <w:marLeft w:val="285"/>
              <w:marRight w:val="0"/>
              <w:marTop w:val="0"/>
              <w:marBottom w:val="0"/>
              <w:divBdr>
                <w:top w:val="none" w:sz="0" w:space="0" w:color="auto"/>
                <w:left w:val="none" w:sz="0" w:space="0" w:color="auto"/>
                <w:bottom w:val="none" w:sz="0" w:space="0" w:color="auto"/>
                <w:right w:val="none" w:sz="0" w:space="0" w:color="auto"/>
              </w:divBdr>
            </w:div>
            <w:div w:id="1425951129">
              <w:marLeft w:val="285"/>
              <w:marRight w:val="0"/>
              <w:marTop w:val="0"/>
              <w:marBottom w:val="0"/>
              <w:divBdr>
                <w:top w:val="none" w:sz="0" w:space="0" w:color="auto"/>
                <w:left w:val="none" w:sz="0" w:space="0" w:color="auto"/>
                <w:bottom w:val="none" w:sz="0" w:space="0" w:color="auto"/>
                <w:right w:val="none" w:sz="0" w:space="0" w:color="auto"/>
              </w:divBdr>
              <w:divsChild>
                <w:div w:id="1810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6847">
          <w:marLeft w:val="0"/>
          <w:marRight w:val="0"/>
          <w:marTop w:val="0"/>
          <w:marBottom w:val="600"/>
          <w:divBdr>
            <w:top w:val="none" w:sz="0" w:space="0" w:color="auto"/>
            <w:left w:val="none" w:sz="0" w:space="0" w:color="auto"/>
            <w:bottom w:val="none" w:sz="0" w:space="0" w:color="auto"/>
            <w:right w:val="none" w:sz="0" w:space="0" w:color="auto"/>
          </w:divBdr>
          <w:divsChild>
            <w:div w:id="465003205">
              <w:marLeft w:val="285"/>
              <w:marRight w:val="0"/>
              <w:marTop w:val="0"/>
              <w:marBottom w:val="0"/>
              <w:divBdr>
                <w:top w:val="none" w:sz="0" w:space="0" w:color="auto"/>
                <w:left w:val="none" w:sz="0" w:space="0" w:color="auto"/>
                <w:bottom w:val="none" w:sz="0" w:space="0" w:color="auto"/>
                <w:right w:val="none" w:sz="0" w:space="0" w:color="auto"/>
              </w:divBdr>
            </w:div>
            <w:div w:id="1692414554">
              <w:marLeft w:val="285"/>
              <w:marRight w:val="0"/>
              <w:marTop w:val="0"/>
              <w:marBottom w:val="0"/>
              <w:divBdr>
                <w:top w:val="none" w:sz="0" w:space="0" w:color="auto"/>
                <w:left w:val="none" w:sz="0" w:space="0" w:color="auto"/>
                <w:bottom w:val="none" w:sz="0" w:space="0" w:color="auto"/>
                <w:right w:val="none" w:sz="0" w:space="0" w:color="auto"/>
              </w:divBdr>
              <w:divsChild>
                <w:div w:id="9044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309">
          <w:marLeft w:val="0"/>
          <w:marRight w:val="0"/>
          <w:marTop w:val="0"/>
          <w:marBottom w:val="600"/>
          <w:divBdr>
            <w:top w:val="none" w:sz="0" w:space="0" w:color="auto"/>
            <w:left w:val="none" w:sz="0" w:space="0" w:color="auto"/>
            <w:bottom w:val="none" w:sz="0" w:space="0" w:color="auto"/>
            <w:right w:val="none" w:sz="0" w:space="0" w:color="auto"/>
          </w:divBdr>
          <w:divsChild>
            <w:div w:id="740830573">
              <w:marLeft w:val="285"/>
              <w:marRight w:val="0"/>
              <w:marTop w:val="0"/>
              <w:marBottom w:val="0"/>
              <w:divBdr>
                <w:top w:val="none" w:sz="0" w:space="0" w:color="auto"/>
                <w:left w:val="none" w:sz="0" w:space="0" w:color="auto"/>
                <w:bottom w:val="none" w:sz="0" w:space="0" w:color="auto"/>
                <w:right w:val="none" w:sz="0" w:space="0" w:color="auto"/>
              </w:divBdr>
            </w:div>
            <w:div w:id="1567299879">
              <w:marLeft w:val="285"/>
              <w:marRight w:val="0"/>
              <w:marTop w:val="0"/>
              <w:marBottom w:val="0"/>
              <w:divBdr>
                <w:top w:val="none" w:sz="0" w:space="0" w:color="auto"/>
                <w:left w:val="none" w:sz="0" w:space="0" w:color="auto"/>
                <w:bottom w:val="none" w:sz="0" w:space="0" w:color="auto"/>
                <w:right w:val="none" w:sz="0" w:space="0" w:color="auto"/>
              </w:divBdr>
              <w:divsChild>
                <w:div w:id="14175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209">
          <w:marLeft w:val="0"/>
          <w:marRight w:val="0"/>
          <w:marTop w:val="0"/>
          <w:marBottom w:val="600"/>
          <w:divBdr>
            <w:top w:val="none" w:sz="0" w:space="0" w:color="auto"/>
            <w:left w:val="none" w:sz="0" w:space="0" w:color="auto"/>
            <w:bottom w:val="none" w:sz="0" w:space="0" w:color="auto"/>
            <w:right w:val="none" w:sz="0" w:space="0" w:color="auto"/>
          </w:divBdr>
          <w:divsChild>
            <w:div w:id="594628367">
              <w:marLeft w:val="285"/>
              <w:marRight w:val="0"/>
              <w:marTop w:val="0"/>
              <w:marBottom w:val="0"/>
              <w:divBdr>
                <w:top w:val="none" w:sz="0" w:space="0" w:color="auto"/>
                <w:left w:val="none" w:sz="0" w:space="0" w:color="auto"/>
                <w:bottom w:val="none" w:sz="0" w:space="0" w:color="auto"/>
                <w:right w:val="none" w:sz="0" w:space="0" w:color="auto"/>
              </w:divBdr>
            </w:div>
            <w:div w:id="695429671">
              <w:marLeft w:val="285"/>
              <w:marRight w:val="0"/>
              <w:marTop w:val="0"/>
              <w:marBottom w:val="0"/>
              <w:divBdr>
                <w:top w:val="none" w:sz="0" w:space="0" w:color="auto"/>
                <w:left w:val="none" w:sz="0" w:space="0" w:color="auto"/>
                <w:bottom w:val="none" w:sz="0" w:space="0" w:color="auto"/>
                <w:right w:val="none" w:sz="0" w:space="0" w:color="auto"/>
              </w:divBdr>
              <w:divsChild>
                <w:div w:id="5826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8196">
          <w:marLeft w:val="0"/>
          <w:marRight w:val="0"/>
          <w:marTop w:val="0"/>
          <w:marBottom w:val="600"/>
          <w:divBdr>
            <w:top w:val="none" w:sz="0" w:space="0" w:color="auto"/>
            <w:left w:val="none" w:sz="0" w:space="0" w:color="auto"/>
            <w:bottom w:val="none" w:sz="0" w:space="0" w:color="auto"/>
            <w:right w:val="none" w:sz="0" w:space="0" w:color="auto"/>
          </w:divBdr>
          <w:divsChild>
            <w:div w:id="1919511198">
              <w:marLeft w:val="285"/>
              <w:marRight w:val="0"/>
              <w:marTop w:val="0"/>
              <w:marBottom w:val="0"/>
              <w:divBdr>
                <w:top w:val="none" w:sz="0" w:space="0" w:color="auto"/>
                <w:left w:val="none" w:sz="0" w:space="0" w:color="auto"/>
                <w:bottom w:val="none" w:sz="0" w:space="0" w:color="auto"/>
                <w:right w:val="none" w:sz="0" w:space="0" w:color="auto"/>
              </w:divBdr>
            </w:div>
            <w:div w:id="1108235109">
              <w:marLeft w:val="285"/>
              <w:marRight w:val="0"/>
              <w:marTop w:val="0"/>
              <w:marBottom w:val="0"/>
              <w:divBdr>
                <w:top w:val="none" w:sz="0" w:space="0" w:color="auto"/>
                <w:left w:val="none" w:sz="0" w:space="0" w:color="auto"/>
                <w:bottom w:val="none" w:sz="0" w:space="0" w:color="auto"/>
                <w:right w:val="none" w:sz="0" w:space="0" w:color="auto"/>
              </w:divBdr>
              <w:divsChild>
                <w:div w:id="14609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074">
          <w:marLeft w:val="0"/>
          <w:marRight w:val="0"/>
          <w:marTop w:val="0"/>
          <w:marBottom w:val="600"/>
          <w:divBdr>
            <w:top w:val="none" w:sz="0" w:space="0" w:color="auto"/>
            <w:left w:val="none" w:sz="0" w:space="0" w:color="auto"/>
            <w:bottom w:val="none" w:sz="0" w:space="0" w:color="auto"/>
            <w:right w:val="none" w:sz="0" w:space="0" w:color="auto"/>
          </w:divBdr>
          <w:divsChild>
            <w:div w:id="2015649903">
              <w:marLeft w:val="285"/>
              <w:marRight w:val="0"/>
              <w:marTop w:val="0"/>
              <w:marBottom w:val="0"/>
              <w:divBdr>
                <w:top w:val="none" w:sz="0" w:space="0" w:color="auto"/>
                <w:left w:val="none" w:sz="0" w:space="0" w:color="auto"/>
                <w:bottom w:val="none" w:sz="0" w:space="0" w:color="auto"/>
                <w:right w:val="none" w:sz="0" w:space="0" w:color="auto"/>
              </w:divBdr>
            </w:div>
            <w:div w:id="476915256">
              <w:marLeft w:val="285"/>
              <w:marRight w:val="0"/>
              <w:marTop w:val="0"/>
              <w:marBottom w:val="0"/>
              <w:divBdr>
                <w:top w:val="none" w:sz="0" w:space="0" w:color="auto"/>
                <w:left w:val="none" w:sz="0" w:space="0" w:color="auto"/>
                <w:bottom w:val="none" w:sz="0" w:space="0" w:color="auto"/>
                <w:right w:val="none" w:sz="0" w:space="0" w:color="auto"/>
              </w:divBdr>
              <w:divsChild>
                <w:div w:id="7134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futureofnursing.org/recommendation/detail/recommendation-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futureofnursing.org/recommendation/detail/recommendation-3" TargetMode="External"/><Relationship Id="rId12" Type="http://schemas.openxmlformats.org/officeDocument/2006/relationships/hyperlink" Target="http://thefutureofnursing.org/recommendation/detail/recommendation-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futureofnursing.org/recommendation/detail/recommendation-2" TargetMode="External"/><Relationship Id="rId11" Type="http://schemas.openxmlformats.org/officeDocument/2006/relationships/hyperlink" Target="http://thefutureofnursing.org/recommendation/detail/recommendation-7" TargetMode="External"/><Relationship Id="rId5" Type="http://schemas.openxmlformats.org/officeDocument/2006/relationships/hyperlink" Target="http://thefutureofnursing.org/recommendation/detail/recommendation-1" TargetMode="External"/><Relationship Id="rId10" Type="http://schemas.openxmlformats.org/officeDocument/2006/relationships/hyperlink" Target="http://thefutureofnursing.org/recommendation/detail/recommendation-6" TargetMode="External"/><Relationship Id="rId4" Type="http://schemas.openxmlformats.org/officeDocument/2006/relationships/webSettings" Target="webSettings.xml"/><Relationship Id="rId9" Type="http://schemas.openxmlformats.org/officeDocument/2006/relationships/hyperlink" Target="http://thefutureofnursing.org/recommendation/detail/recommendation-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2014-06-27T21:31:00Z</cp:lastPrinted>
  <dcterms:created xsi:type="dcterms:W3CDTF">2014-06-27T21:29:00Z</dcterms:created>
  <dcterms:modified xsi:type="dcterms:W3CDTF">2014-06-27T21:33:00Z</dcterms:modified>
</cp:coreProperties>
</file>