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2DE" w:rsidRPr="00EA02DE" w:rsidRDefault="00EA02DE" w:rsidP="00EA02DE">
      <w:pPr>
        <w:pStyle w:val="Header"/>
        <w:jc w:val="center"/>
        <w:rPr>
          <w:b/>
        </w:rPr>
      </w:pPr>
      <w:bookmarkStart w:id="0" w:name="_GoBack"/>
      <w:bookmarkEnd w:id="0"/>
    </w:p>
    <w:p w:rsidR="00F24F28" w:rsidRPr="00B706A3" w:rsidRDefault="00F24F28" w:rsidP="00EA02DE">
      <w:pPr>
        <w:pStyle w:val="Heading1"/>
        <w:spacing w:before="180"/>
      </w:pPr>
      <w:r w:rsidRPr="00B706A3">
        <w:t>Nurses should practice to the full extent of their education and training.</w:t>
      </w:r>
    </w:p>
    <w:tbl>
      <w:tblPr>
        <w:tblStyle w:val="TableGrid"/>
        <w:tblW w:w="136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98"/>
        <w:gridCol w:w="7830"/>
        <w:gridCol w:w="2880"/>
      </w:tblGrid>
      <w:tr w:rsidR="00146DD0" w:rsidRPr="00146DD0" w:rsidTr="00146DD0">
        <w:trPr>
          <w:tblHeader/>
        </w:trPr>
        <w:tc>
          <w:tcPr>
            <w:tcW w:w="2898" w:type="dxa"/>
            <w:vAlign w:val="center"/>
          </w:tcPr>
          <w:p w:rsidR="00F24F28" w:rsidRPr="00146DD0" w:rsidRDefault="00F24F28" w:rsidP="00D32265">
            <w:pPr>
              <w:jc w:val="center"/>
              <w:rPr>
                <w:b/>
                <w:sz w:val="20"/>
                <w:szCs w:val="20"/>
              </w:rPr>
            </w:pPr>
            <w:r w:rsidRPr="00146DD0">
              <w:rPr>
                <w:b/>
                <w:sz w:val="20"/>
                <w:szCs w:val="20"/>
              </w:rPr>
              <w:t>Recommendations</w:t>
            </w:r>
          </w:p>
        </w:tc>
        <w:tc>
          <w:tcPr>
            <w:tcW w:w="7830" w:type="dxa"/>
            <w:vAlign w:val="center"/>
          </w:tcPr>
          <w:p w:rsidR="00F24F28" w:rsidRPr="00146DD0" w:rsidRDefault="00F24F28" w:rsidP="00D32265">
            <w:pPr>
              <w:ind w:left="72"/>
              <w:jc w:val="center"/>
              <w:rPr>
                <w:b/>
                <w:sz w:val="20"/>
                <w:szCs w:val="20"/>
              </w:rPr>
            </w:pPr>
            <w:r w:rsidRPr="00146DD0">
              <w:rPr>
                <w:b/>
                <w:sz w:val="20"/>
                <w:szCs w:val="20"/>
              </w:rPr>
              <w:t>Actions</w:t>
            </w:r>
          </w:p>
        </w:tc>
        <w:tc>
          <w:tcPr>
            <w:tcW w:w="2880" w:type="dxa"/>
            <w:vAlign w:val="center"/>
          </w:tcPr>
          <w:p w:rsidR="00F24F28" w:rsidRPr="00146DD0" w:rsidRDefault="00F24F28" w:rsidP="00D32265">
            <w:pPr>
              <w:jc w:val="center"/>
              <w:rPr>
                <w:b/>
                <w:sz w:val="20"/>
                <w:szCs w:val="20"/>
              </w:rPr>
            </w:pPr>
            <w:r w:rsidRPr="00146DD0">
              <w:rPr>
                <w:b/>
                <w:sz w:val="20"/>
                <w:szCs w:val="20"/>
              </w:rPr>
              <w:t>FoN Campaign for Action Dashboard</w:t>
            </w:r>
          </w:p>
        </w:tc>
      </w:tr>
      <w:tr w:rsidR="00146DD0" w:rsidRPr="00146DD0" w:rsidTr="00146DD0">
        <w:tc>
          <w:tcPr>
            <w:tcW w:w="2898" w:type="dxa"/>
          </w:tcPr>
          <w:p w:rsidR="00F24F28" w:rsidRPr="00146DD0" w:rsidRDefault="00F24F28" w:rsidP="005E46BA">
            <w:pPr>
              <w:rPr>
                <w:sz w:val="20"/>
                <w:szCs w:val="20"/>
              </w:rPr>
            </w:pPr>
            <w:r w:rsidRPr="00146DD0">
              <w:rPr>
                <w:b/>
                <w:sz w:val="20"/>
                <w:szCs w:val="20"/>
              </w:rPr>
              <w:t>Recommendation 1: Remove scope-of-practice barriers</w:t>
            </w:r>
            <w:r w:rsidRPr="00146DD0">
              <w:rPr>
                <w:sz w:val="20"/>
                <w:szCs w:val="20"/>
              </w:rPr>
              <w:t>. Advanced practice registered nurses should be able to practice to the full extent of their education and training.</w:t>
            </w:r>
          </w:p>
        </w:tc>
        <w:tc>
          <w:tcPr>
            <w:tcW w:w="7830" w:type="dxa"/>
          </w:tcPr>
          <w:p w:rsidR="00F24F28" w:rsidRPr="00146DD0" w:rsidRDefault="00F24F28" w:rsidP="00286377">
            <w:pPr>
              <w:ind w:left="72"/>
              <w:rPr>
                <w:b/>
                <w:sz w:val="20"/>
                <w:szCs w:val="20"/>
              </w:rPr>
            </w:pPr>
            <w:r w:rsidRPr="00146DD0">
              <w:rPr>
                <w:b/>
                <w:sz w:val="20"/>
                <w:szCs w:val="20"/>
              </w:rPr>
              <w:t>For the Congress:</w:t>
            </w:r>
          </w:p>
          <w:p w:rsidR="00F24F28" w:rsidRPr="00146DD0" w:rsidRDefault="00F24F28" w:rsidP="00C246DC">
            <w:pPr>
              <w:pStyle w:val="ListParagraph"/>
              <w:numPr>
                <w:ilvl w:val="0"/>
                <w:numId w:val="15"/>
              </w:numPr>
              <w:ind w:left="252" w:hanging="180"/>
              <w:rPr>
                <w:sz w:val="20"/>
                <w:szCs w:val="20"/>
              </w:rPr>
            </w:pPr>
            <w:r w:rsidRPr="00146DD0">
              <w:rPr>
                <w:sz w:val="20"/>
                <w:szCs w:val="20"/>
              </w:rPr>
              <w:t>Expand the Medicare program to include coverage of advanced practice registered nurse services that are within the scope of practice under applicable state law, just as physician services are now covered.</w:t>
            </w:r>
          </w:p>
          <w:p w:rsidR="00F24F28" w:rsidRPr="00146DD0" w:rsidRDefault="00F24F28" w:rsidP="00C246DC">
            <w:pPr>
              <w:pStyle w:val="ListParagraph"/>
              <w:numPr>
                <w:ilvl w:val="0"/>
                <w:numId w:val="15"/>
              </w:numPr>
              <w:ind w:left="252" w:hanging="180"/>
              <w:rPr>
                <w:sz w:val="20"/>
                <w:szCs w:val="20"/>
              </w:rPr>
            </w:pPr>
            <w:r w:rsidRPr="00146DD0">
              <w:rPr>
                <w:sz w:val="20"/>
                <w:szCs w:val="20"/>
              </w:rPr>
              <w:t>Amend the Medicare program to authorize advanced practice registered nurses to perform admission assessments, as well as certification of patients for home health care services and for admission to hospice and skilled nursing facilities.</w:t>
            </w:r>
          </w:p>
          <w:p w:rsidR="00F24F28" w:rsidRPr="00146DD0" w:rsidRDefault="00F24F28" w:rsidP="00C246DC">
            <w:pPr>
              <w:pStyle w:val="ListParagraph"/>
              <w:numPr>
                <w:ilvl w:val="0"/>
                <w:numId w:val="15"/>
              </w:numPr>
              <w:ind w:left="252" w:hanging="180"/>
              <w:rPr>
                <w:sz w:val="20"/>
                <w:szCs w:val="20"/>
              </w:rPr>
            </w:pPr>
            <w:r w:rsidRPr="00146DD0">
              <w:rPr>
                <w:sz w:val="20"/>
                <w:szCs w:val="20"/>
              </w:rPr>
              <w:t>Extend the increase in Medicaid reimbursement rates for primary care physicians included in the ACA to advanced practice registered nurses providing similar primary care services.</w:t>
            </w:r>
          </w:p>
          <w:p w:rsidR="00F24F28" w:rsidRPr="00146DD0" w:rsidRDefault="00F24F28" w:rsidP="00C246DC">
            <w:pPr>
              <w:pStyle w:val="ListParagraph"/>
              <w:numPr>
                <w:ilvl w:val="0"/>
                <w:numId w:val="15"/>
              </w:numPr>
              <w:ind w:left="252" w:hanging="180"/>
              <w:rPr>
                <w:sz w:val="20"/>
                <w:szCs w:val="20"/>
              </w:rPr>
            </w:pPr>
            <w:r w:rsidRPr="00146DD0">
              <w:rPr>
                <w:sz w:val="20"/>
                <w:szCs w:val="20"/>
              </w:rPr>
              <w:t>Limit federal funding for nursing education programs to only those programs in states that have adopted the National Council of State Boards of Nursing Model Nursing Practice Act and Model Nursing Administrative Rules (Article XVIII, Chapter 18).</w:t>
            </w:r>
          </w:p>
          <w:p w:rsidR="00F24F28" w:rsidRPr="00146DD0" w:rsidRDefault="00F24F28" w:rsidP="00286377">
            <w:pPr>
              <w:ind w:left="72"/>
              <w:rPr>
                <w:sz w:val="20"/>
                <w:szCs w:val="20"/>
              </w:rPr>
            </w:pPr>
            <w:r w:rsidRPr="00146DD0">
              <w:rPr>
                <w:b/>
                <w:sz w:val="20"/>
                <w:szCs w:val="20"/>
              </w:rPr>
              <w:t>For state legislatures:</w:t>
            </w:r>
          </w:p>
          <w:p w:rsidR="00F24F28" w:rsidRPr="00146DD0" w:rsidRDefault="00F24F28" w:rsidP="00C246DC">
            <w:pPr>
              <w:pStyle w:val="ListParagraph"/>
              <w:numPr>
                <w:ilvl w:val="0"/>
                <w:numId w:val="15"/>
              </w:numPr>
              <w:ind w:left="252" w:hanging="180"/>
              <w:rPr>
                <w:sz w:val="20"/>
                <w:szCs w:val="20"/>
              </w:rPr>
            </w:pPr>
            <w:r w:rsidRPr="00146DD0">
              <w:rPr>
                <w:sz w:val="20"/>
                <w:szCs w:val="20"/>
              </w:rPr>
              <w:t>Reform scope-of-practice regulations to conform to the National Council of State Boards of Nursing Model Nursing Practice Act and Model Nursing Administrative Rules (Article XVIII, Chapter 18).</w:t>
            </w:r>
          </w:p>
          <w:p w:rsidR="00F24F28" w:rsidRPr="00146DD0" w:rsidRDefault="00F24F28" w:rsidP="00C246DC">
            <w:pPr>
              <w:pStyle w:val="ListParagraph"/>
              <w:numPr>
                <w:ilvl w:val="0"/>
                <w:numId w:val="15"/>
              </w:numPr>
              <w:ind w:left="252" w:hanging="180"/>
              <w:rPr>
                <w:sz w:val="20"/>
                <w:szCs w:val="20"/>
              </w:rPr>
            </w:pPr>
            <w:r w:rsidRPr="00146DD0">
              <w:rPr>
                <w:sz w:val="20"/>
                <w:szCs w:val="20"/>
              </w:rPr>
              <w:t>Require third-party payers that participate in fee-for-service payment arrangements to provide direct reimbursement to advanced practice registered nurses who are practicing within their scope of practice under state law.</w:t>
            </w:r>
          </w:p>
          <w:p w:rsidR="00F24F28" w:rsidRPr="00146DD0" w:rsidRDefault="00F24F28" w:rsidP="00286377">
            <w:pPr>
              <w:ind w:left="72"/>
              <w:rPr>
                <w:b/>
                <w:sz w:val="20"/>
                <w:szCs w:val="20"/>
              </w:rPr>
            </w:pPr>
            <w:r w:rsidRPr="00146DD0">
              <w:rPr>
                <w:b/>
                <w:sz w:val="20"/>
                <w:szCs w:val="20"/>
              </w:rPr>
              <w:t>For the Centers for Medicare and Medicaid Services:</w:t>
            </w:r>
          </w:p>
          <w:p w:rsidR="00F24F28" w:rsidRPr="00146DD0" w:rsidRDefault="00F24F28" w:rsidP="00C246DC">
            <w:pPr>
              <w:pStyle w:val="ListParagraph"/>
              <w:numPr>
                <w:ilvl w:val="0"/>
                <w:numId w:val="15"/>
              </w:numPr>
              <w:ind w:left="252" w:hanging="180"/>
              <w:rPr>
                <w:sz w:val="20"/>
                <w:szCs w:val="20"/>
              </w:rPr>
            </w:pPr>
            <w:r w:rsidRPr="00146DD0">
              <w:rPr>
                <w:sz w:val="20"/>
                <w:szCs w:val="20"/>
              </w:rPr>
              <w:t>Amend or clarify the requirements for hospital participation in the Medicare program to ensure that advanced practice registered nurses are eligible for clinical privileges, admitting privileges, and membership on medical staff.</w:t>
            </w:r>
          </w:p>
          <w:p w:rsidR="00F24F28" w:rsidRPr="00146DD0" w:rsidRDefault="00F24F28" w:rsidP="00286377">
            <w:pPr>
              <w:ind w:left="72"/>
              <w:rPr>
                <w:sz w:val="20"/>
                <w:szCs w:val="20"/>
              </w:rPr>
            </w:pPr>
            <w:r w:rsidRPr="00146DD0">
              <w:rPr>
                <w:b/>
                <w:sz w:val="20"/>
                <w:szCs w:val="20"/>
              </w:rPr>
              <w:t>For the Office of Personnel Management:</w:t>
            </w:r>
          </w:p>
          <w:p w:rsidR="00F24F28" w:rsidRPr="00146DD0" w:rsidRDefault="00F24F28" w:rsidP="00C246DC">
            <w:pPr>
              <w:pStyle w:val="ListParagraph"/>
              <w:numPr>
                <w:ilvl w:val="0"/>
                <w:numId w:val="15"/>
              </w:numPr>
              <w:ind w:left="252" w:hanging="180"/>
              <w:rPr>
                <w:sz w:val="20"/>
                <w:szCs w:val="20"/>
              </w:rPr>
            </w:pPr>
            <w:r w:rsidRPr="00146DD0">
              <w:rPr>
                <w:sz w:val="20"/>
                <w:szCs w:val="20"/>
              </w:rPr>
              <w:t>Require insurers participating in the Federal Employees Health Benefits Program to include coverage of those services of advanced practice registered nurses that are within their scope of practice under applicable state law.</w:t>
            </w:r>
          </w:p>
          <w:p w:rsidR="00F24F28" w:rsidRPr="00146DD0" w:rsidRDefault="00F24F28" w:rsidP="00286377">
            <w:pPr>
              <w:ind w:left="72"/>
              <w:rPr>
                <w:sz w:val="20"/>
                <w:szCs w:val="20"/>
              </w:rPr>
            </w:pPr>
            <w:r w:rsidRPr="00146DD0">
              <w:rPr>
                <w:b/>
                <w:sz w:val="20"/>
                <w:szCs w:val="20"/>
              </w:rPr>
              <w:t>For the Federal Trade Commission and the Antitrust Division of the Department of Justice:</w:t>
            </w:r>
          </w:p>
          <w:p w:rsidR="00F24F28" w:rsidRPr="00146DD0" w:rsidRDefault="00F24F28" w:rsidP="0030154D">
            <w:pPr>
              <w:pStyle w:val="ListParagraph"/>
              <w:numPr>
                <w:ilvl w:val="0"/>
                <w:numId w:val="15"/>
              </w:numPr>
              <w:ind w:left="252" w:hanging="180"/>
              <w:rPr>
                <w:sz w:val="20"/>
                <w:szCs w:val="20"/>
              </w:rPr>
            </w:pPr>
            <w:r w:rsidRPr="00146DD0">
              <w:rPr>
                <w:sz w:val="20"/>
                <w:szCs w:val="20"/>
              </w:rPr>
              <w:t>Review existing and proposed state regulations concerning advanced practice registered nurses to identify those that have anticompetitive effects without contributing to the health and safety of the public. States with unduly restrictive regulations should be urged to amend them to allow advanced practice registered nurses to provide care to patients in all circumstances in which they are qualified to do so.</w:t>
            </w:r>
          </w:p>
        </w:tc>
        <w:tc>
          <w:tcPr>
            <w:tcW w:w="2880" w:type="dxa"/>
          </w:tcPr>
          <w:p w:rsidR="00F24F28" w:rsidRPr="00146DD0" w:rsidRDefault="00F24F28" w:rsidP="006A546D">
            <w:pPr>
              <w:rPr>
                <w:b/>
                <w:sz w:val="20"/>
                <w:szCs w:val="20"/>
              </w:rPr>
            </w:pPr>
            <w:r w:rsidRPr="00146DD0">
              <w:rPr>
                <w:b/>
                <w:sz w:val="20"/>
                <w:szCs w:val="20"/>
              </w:rPr>
              <w:t>Indicator 3: removing barriers to practice and care</w:t>
            </w:r>
          </w:p>
          <w:p w:rsidR="00F24F28" w:rsidRPr="00146DD0" w:rsidRDefault="00F24F28" w:rsidP="006A546D">
            <w:pPr>
              <w:rPr>
                <w:sz w:val="20"/>
                <w:szCs w:val="20"/>
              </w:rPr>
            </w:pPr>
            <w:r w:rsidRPr="00146DD0">
              <w:rPr>
                <w:sz w:val="20"/>
                <w:szCs w:val="20"/>
              </w:rPr>
              <w:t>State progress in removing</w:t>
            </w:r>
          </w:p>
          <w:p w:rsidR="00F24F28" w:rsidRPr="00146DD0" w:rsidRDefault="00F24F28" w:rsidP="006A546D">
            <w:pPr>
              <w:rPr>
                <w:sz w:val="20"/>
                <w:szCs w:val="20"/>
              </w:rPr>
            </w:pPr>
            <w:r w:rsidRPr="00146DD0">
              <w:rPr>
                <w:sz w:val="20"/>
                <w:szCs w:val="20"/>
              </w:rPr>
              <w:t>regulatory barriers to care by</w:t>
            </w:r>
          </w:p>
          <w:p w:rsidR="00F24F28" w:rsidRPr="00146DD0" w:rsidRDefault="00F24F28" w:rsidP="006A546D">
            <w:pPr>
              <w:rPr>
                <w:sz w:val="20"/>
                <w:szCs w:val="20"/>
              </w:rPr>
            </w:pPr>
            <w:r w:rsidRPr="00146DD0">
              <w:rPr>
                <w:sz w:val="20"/>
                <w:szCs w:val="20"/>
              </w:rPr>
              <w:t>certified nurse practitioners (CNPs)</w:t>
            </w:r>
          </w:p>
        </w:tc>
      </w:tr>
    </w:tbl>
    <w:p w:rsidR="00F24F28" w:rsidRPr="0030154D" w:rsidRDefault="00F24F28" w:rsidP="0030154D">
      <w:pPr>
        <w:pStyle w:val="Heading1"/>
      </w:pPr>
      <w:r w:rsidRPr="00146DD0">
        <w:lastRenderedPageBreak/>
        <w:t>Nurses should be full partners with physicians and other health care professionals, in redesigning health care in the United States.</w:t>
      </w:r>
    </w:p>
    <w:tbl>
      <w:tblPr>
        <w:tblStyle w:val="TableGrid"/>
        <w:tblW w:w="136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348"/>
        <w:gridCol w:w="7380"/>
        <w:gridCol w:w="2880"/>
      </w:tblGrid>
      <w:tr w:rsidR="00EA02DE" w:rsidRPr="00146DD0" w:rsidTr="00EA02DE">
        <w:trPr>
          <w:tblHeader/>
        </w:trPr>
        <w:tc>
          <w:tcPr>
            <w:tcW w:w="3348" w:type="dxa"/>
            <w:vAlign w:val="center"/>
          </w:tcPr>
          <w:p w:rsidR="00EA02DE" w:rsidRPr="00146DD0" w:rsidRDefault="00EA02DE" w:rsidP="00A03A5A">
            <w:pPr>
              <w:jc w:val="center"/>
              <w:rPr>
                <w:b/>
                <w:sz w:val="20"/>
                <w:szCs w:val="20"/>
              </w:rPr>
            </w:pPr>
            <w:r w:rsidRPr="00146DD0">
              <w:rPr>
                <w:b/>
                <w:sz w:val="20"/>
                <w:szCs w:val="20"/>
              </w:rPr>
              <w:t>Recommendations</w:t>
            </w:r>
          </w:p>
        </w:tc>
        <w:tc>
          <w:tcPr>
            <w:tcW w:w="7380" w:type="dxa"/>
            <w:vAlign w:val="center"/>
          </w:tcPr>
          <w:p w:rsidR="00EA02DE" w:rsidRPr="00146DD0" w:rsidRDefault="00EA02DE" w:rsidP="00A03A5A">
            <w:pPr>
              <w:ind w:left="72"/>
              <w:jc w:val="center"/>
              <w:rPr>
                <w:b/>
                <w:sz w:val="20"/>
                <w:szCs w:val="20"/>
              </w:rPr>
            </w:pPr>
            <w:r w:rsidRPr="00146DD0">
              <w:rPr>
                <w:b/>
                <w:sz w:val="20"/>
                <w:szCs w:val="20"/>
              </w:rPr>
              <w:t>Actions</w:t>
            </w:r>
          </w:p>
        </w:tc>
        <w:tc>
          <w:tcPr>
            <w:tcW w:w="2880" w:type="dxa"/>
            <w:vAlign w:val="center"/>
          </w:tcPr>
          <w:p w:rsidR="00EA02DE" w:rsidRPr="00146DD0" w:rsidRDefault="00EA02DE" w:rsidP="00A03A5A">
            <w:pPr>
              <w:jc w:val="center"/>
              <w:rPr>
                <w:b/>
                <w:sz w:val="20"/>
                <w:szCs w:val="20"/>
              </w:rPr>
            </w:pPr>
            <w:r w:rsidRPr="00146DD0">
              <w:rPr>
                <w:b/>
                <w:sz w:val="20"/>
                <w:szCs w:val="20"/>
              </w:rPr>
              <w:t>FoN Campaign for Action Dashboard</w:t>
            </w:r>
          </w:p>
        </w:tc>
      </w:tr>
      <w:tr w:rsidR="00146DD0" w:rsidRPr="00146DD0" w:rsidTr="00EA02DE">
        <w:tc>
          <w:tcPr>
            <w:tcW w:w="3348" w:type="dxa"/>
          </w:tcPr>
          <w:p w:rsidR="00F24F28" w:rsidRPr="00146DD0" w:rsidRDefault="00F24F28" w:rsidP="005E46BA">
            <w:pPr>
              <w:rPr>
                <w:sz w:val="20"/>
                <w:szCs w:val="20"/>
              </w:rPr>
            </w:pPr>
            <w:r w:rsidRPr="00146DD0">
              <w:rPr>
                <w:b/>
                <w:sz w:val="20"/>
                <w:szCs w:val="20"/>
              </w:rPr>
              <w:t xml:space="preserve">Recommendation 2: Expand opportunities for nurses to lead and diffuse collaborative improvement efforts. </w:t>
            </w:r>
            <w:r w:rsidRPr="00146DD0">
              <w:rPr>
                <w:sz w:val="20"/>
                <w:szCs w:val="20"/>
              </w:rPr>
              <w:t>Private and public funders, health care organizations, nursing education programs, and nursing associations should expand opportunities for nurses to lead and manage collaborative efforts with physicians and other members of the health care team to conduct research and to redesign and improve practice environments and health systems. These entities should also provide opportunities for nurses to diffuse successful practices.</w:t>
            </w:r>
          </w:p>
        </w:tc>
        <w:tc>
          <w:tcPr>
            <w:tcW w:w="7380" w:type="dxa"/>
          </w:tcPr>
          <w:p w:rsidR="00F24F28" w:rsidRPr="00146DD0" w:rsidRDefault="00F24F28" w:rsidP="006A546D">
            <w:pPr>
              <w:pStyle w:val="ListParagraph"/>
              <w:numPr>
                <w:ilvl w:val="0"/>
                <w:numId w:val="15"/>
              </w:numPr>
              <w:ind w:left="252" w:hanging="180"/>
              <w:rPr>
                <w:sz w:val="20"/>
                <w:szCs w:val="20"/>
              </w:rPr>
            </w:pPr>
            <w:r w:rsidRPr="00146DD0">
              <w:rPr>
                <w:sz w:val="20"/>
                <w:szCs w:val="20"/>
              </w:rPr>
              <w:t>Health care organizations should engage nurses and other front-line staff to work with developers and manufacturers in the design, development, purchase, implementation, and evaluation of medical and health devices and health information technology products.</w:t>
            </w:r>
          </w:p>
          <w:p w:rsidR="00F24F28" w:rsidRPr="00146DD0" w:rsidRDefault="00F24F28" w:rsidP="006A546D">
            <w:pPr>
              <w:pStyle w:val="ListParagraph"/>
              <w:numPr>
                <w:ilvl w:val="0"/>
                <w:numId w:val="15"/>
              </w:numPr>
              <w:ind w:left="252" w:hanging="180"/>
              <w:rPr>
                <w:sz w:val="20"/>
                <w:szCs w:val="20"/>
              </w:rPr>
            </w:pPr>
            <w:r w:rsidRPr="00146DD0">
              <w:rPr>
                <w:sz w:val="20"/>
                <w:szCs w:val="20"/>
              </w:rPr>
              <w:t>Private and public funders should collaborate, and when possible pool funds, to advance research on models of care and innovative solutions, including technology, that will enable nurses to contribute to improved health and health care.</w:t>
            </w:r>
          </w:p>
          <w:p w:rsidR="00F24F28" w:rsidRPr="00146DD0" w:rsidRDefault="00F24F28" w:rsidP="006A546D">
            <w:pPr>
              <w:pStyle w:val="ListParagraph"/>
              <w:numPr>
                <w:ilvl w:val="0"/>
                <w:numId w:val="15"/>
              </w:numPr>
              <w:ind w:left="252" w:hanging="180"/>
              <w:rPr>
                <w:sz w:val="20"/>
                <w:szCs w:val="20"/>
              </w:rPr>
            </w:pPr>
            <w:r w:rsidRPr="00146DD0">
              <w:rPr>
                <w:sz w:val="20"/>
                <w:szCs w:val="20"/>
              </w:rPr>
              <w:t>Health care organizations should support and help nurses in taking the lead in developing and adopting innovative, patient-centered care models.</w:t>
            </w:r>
          </w:p>
          <w:p w:rsidR="00F24F28" w:rsidRPr="00146DD0" w:rsidRDefault="00F24F28" w:rsidP="006A546D">
            <w:pPr>
              <w:pStyle w:val="ListParagraph"/>
              <w:numPr>
                <w:ilvl w:val="0"/>
                <w:numId w:val="15"/>
              </w:numPr>
              <w:ind w:left="252" w:hanging="180"/>
              <w:rPr>
                <w:sz w:val="20"/>
                <w:szCs w:val="20"/>
              </w:rPr>
            </w:pPr>
            <w:r w:rsidRPr="00146DD0">
              <w:rPr>
                <w:sz w:val="20"/>
                <w:szCs w:val="20"/>
              </w:rPr>
              <w:t>Health care organizations should engage nurses and other front-line staff to work with developers and manufacturers in the design, development, purchase, implementation, and evaluation of medical and health devices and health information technology products.</w:t>
            </w:r>
          </w:p>
          <w:p w:rsidR="00F24F28" w:rsidRPr="00146DD0" w:rsidRDefault="00F24F28" w:rsidP="006A546D">
            <w:pPr>
              <w:pStyle w:val="ListParagraph"/>
              <w:numPr>
                <w:ilvl w:val="0"/>
                <w:numId w:val="15"/>
              </w:numPr>
              <w:ind w:left="252" w:hanging="180"/>
              <w:rPr>
                <w:sz w:val="20"/>
                <w:szCs w:val="20"/>
              </w:rPr>
            </w:pPr>
            <w:r w:rsidRPr="00146DD0">
              <w:rPr>
                <w:sz w:val="20"/>
                <w:szCs w:val="20"/>
              </w:rPr>
              <w:t>Nursing education programs and nursing associations should provide entrepreneurial professional development that will enable nurses to initiate programs and businesses that will contribute to improved health and health care.</w:t>
            </w:r>
          </w:p>
        </w:tc>
        <w:tc>
          <w:tcPr>
            <w:tcW w:w="2880" w:type="dxa"/>
          </w:tcPr>
          <w:p w:rsidR="00F24F28" w:rsidRPr="00146DD0" w:rsidRDefault="00F24F28" w:rsidP="006A546D">
            <w:pPr>
              <w:rPr>
                <w:b/>
                <w:sz w:val="20"/>
                <w:szCs w:val="20"/>
              </w:rPr>
            </w:pPr>
            <w:r w:rsidRPr="00146DD0">
              <w:rPr>
                <w:b/>
                <w:sz w:val="20"/>
                <w:szCs w:val="20"/>
              </w:rPr>
              <w:t>Indicator 4: interprofessional collaboration</w:t>
            </w:r>
          </w:p>
          <w:p w:rsidR="00F24F28" w:rsidRPr="00146DD0" w:rsidRDefault="00F24F28" w:rsidP="00F24F28">
            <w:pPr>
              <w:rPr>
                <w:sz w:val="20"/>
                <w:szCs w:val="20"/>
              </w:rPr>
            </w:pPr>
            <w:r w:rsidRPr="00146DD0">
              <w:rPr>
                <w:sz w:val="20"/>
                <w:szCs w:val="20"/>
              </w:rPr>
              <w:t>Number of required clinical courses and/or activities at top nursing schools that include both RN students and other graduate health professional students</w:t>
            </w:r>
          </w:p>
        </w:tc>
      </w:tr>
      <w:tr w:rsidR="00146DD0" w:rsidRPr="00146DD0" w:rsidTr="00EA02DE">
        <w:tc>
          <w:tcPr>
            <w:tcW w:w="3348" w:type="dxa"/>
          </w:tcPr>
          <w:p w:rsidR="00F24F28" w:rsidRPr="00146DD0" w:rsidRDefault="00F24F28" w:rsidP="000C63D2">
            <w:pPr>
              <w:rPr>
                <w:sz w:val="20"/>
                <w:szCs w:val="20"/>
              </w:rPr>
            </w:pPr>
            <w:r w:rsidRPr="00146DD0">
              <w:rPr>
                <w:b/>
                <w:bCs/>
                <w:sz w:val="20"/>
                <w:szCs w:val="20"/>
              </w:rPr>
              <w:t>Recommendation 7: Prepare and enable nurses to lead change to advance health.</w:t>
            </w:r>
            <w:r w:rsidRPr="00146DD0">
              <w:rPr>
                <w:sz w:val="20"/>
                <w:szCs w:val="20"/>
              </w:rPr>
              <w:t> Nurses, nursing education programs, and nursing associations should prepare the nursing workforce to assume leadership positions across all levels, while public, private, and governmental health care decision makers should ensure that leadership positions are available to and filled by nurses.</w:t>
            </w:r>
          </w:p>
          <w:p w:rsidR="00F24F28" w:rsidRPr="00146DD0" w:rsidRDefault="00F24F28" w:rsidP="000C63D2">
            <w:pPr>
              <w:rPr>
                <w:sz w:val="20"/>
                <w:szCs w:val="20"/>
              </w:rPr>
            </w:pPr>
          </w:p>
        </w:tc>
        <w:tc>
          <w:tcPr>
            <w:tcW w:w="7380" w:type="dxa"/>
          </w:tcPr>
          <w:p w:rsidR="00F24F28" w:rsidRPr="00146DD0" w:rsidRDefault="00F24F28" w:rsidP="000C63D2">
            <w:pPr>
              <w:pStyle w:val="ListParagraph"/>
              <w:numPr>
                <w:ilvl w:val="0"/>
                <w:numId w:val="15"/>
              </w:numPr>
              <w:ind w:left="252" w:hanging="180"/>
              <w:rPr>
                <w:sz w:val="20"/>
                <w:szCs w:val="20"/>
              </w:rPr>
            </w:pPr>
            <w:r w:rsidRPr="00146DD0">
              <w:rPr>
                <w:sz w:val="20"/>
                <w:szCs w:val="20"/>
              </w:rPr>
              <w:t>Nurses should take responsibility for their personal and professional growth by continuing their education and seeking opportunities to develop and exercise their leadership skills.</w:t>
            </w:r>
          </w:p>
          <w:p w:rsidR="00F24F28" w:rsidRPr="00146DD0" w:rsidRDefault="00F24F28" w:rsidP="000C63D2">
            <w:pPr>
              <w:pStyle w:val="ListParagraph"/>
              <w:numPr>
                <w:ilvl w:val="0"/>
                <w:numId w:val="15"/>
              </w:numPr>
              <w:ind w:left="252" w:hanging="180"/>
              <w:rPr>
                <w:sz w:val="20"/>
                <w:szCs w:val="20"/>
              </w:rPr>
            </w:pPr>
            <w:r w:rsidRPr="00146DD0">
              <w:rPr>
                <w:sz w:val="20"/>
                <w:szCs w:val="20"/>
              </w:rPr>
              <w:t>Nursing associations should provide leadership development, mentoring programs, and opportunities to lead for all their members.</w:t>
            </w:r>
          </w:p>
          <w:p w:rsidR="00F24F28" w:rsidRPr="00146DD0" w:rsidRDefault="00F24F28" w:rsidP="000C63D2">
            <w:pPr>
              <w:pStyle w:val="ListParagraph"/>
              <w:numPr>
                <w:ilvl w:val="0"/>
                <w:numId w:val="15"/>
              </w:numPr>
              <w:ind w:left="252" w:hanging="180"/>
              <w:rPr>
                <w:sz w:val="20"/>
                <w:szCs w:val="20"/>
              </w:rPr>
            </w:pPr>
            <w:r w:rsidRPr="00146DD0">
              <w:rPr>
                <w:sz w:val="20"/>
                <w:szCs w:val="20"/>
              </w:rPr>
              <w:t>Nursing education programs should integrate leadership theory and business practices across the curriculum, including clinical practice.</w:t>
            </w:r>
          </w:p>
          <w:p w:rsidR="00F24F28" w:rsidRPr="00146DD0" w:rsidRDefault="00F24F28" w:rsidP="000C63D2">
            <w:pPr>
              <w:pStyle w:val="ListParagraph"/>
              <w:numPr>
                <w:ilvl w:val="0"/>
                <w:numId w:val="15"/>
              </w:numPr>
              <w:ind w:left="252" w:hanging="180"/>
              <w:rPr>
                <w:sz w:val="20"/>
                <w:szCs w:val="20"/>
              </w:rPr>
            </w:pPr>
            <w:r w:rsidRPr="00146DD0">
              <w:rPr>
                <w:sz w:val="20"/>
                <w:szCs w:val="20"/>
              </w:rPr>
              <w:t>Public, private, and governmental health care decision makers at every level should include representation from nursing on boards, on executive management teams, and in other key leadership positions.</w:t>
            </w:r>
          </w:p>
          <w:p w:rsidR="00F24F28" w:rsidRPr="00146DD0" w:rsidRDefault="00F24F28" w:rsidP="00F24F28">
            <w:pPr>
              <w:pStyle w:val="ListParagraph"/>
              <w:ind w:left="252"/>
              <w:rPr>
                <w:sz w:val="20"/>
                <w:szCs w:val="20"/>
              </w:rPr>
            </w:pPr>
          </w:p>
        </w:tc>
        <w:tc>
          <w:tcPr>
            <w:tcW w:w="2880" w:type="dxa"/>
          </w:tcPr>
          <w:p w:rsidR="00F24F28" w:rsidRPr="00146DD0" w:rsidRDefault="00F24F28" w:rsidP="000C63D2">
            <w:pPr>
              <w:rPr>
                <w:b/>
                <w:sz w:val="20"/>
                <w:szCs w:val="20"/>
              </w:rPr>
            </w:pPr>
            <w:r w:rsidRPr="00146DD0">
              <w:rPr>
                <w:b/>
                <w:sz w:val="20"/>
                <w:szCs w:val="20"/>
              </w:rPr>
              <w:t>Indicator 5: Leadership</w:t>
            </w:r>
          </w:p>
          <w:p w:rsidR="00F24F28" w:rsidRPr="00146DD0" w:rsidRDefault="00F24F28" w:rsidP="000C63D2">
            <w:pPr>
              <w:rPr>
                <w:sz w:val="20"/>
                <w:szCs w:val="20"/>
              </w:rPr>
            </w:pPr>
            <w:r w:rsidRPr="00146DD0">
              <w:rPr>
                <w:sz w:val="20"/>
                <w:szCs w:val="20"/>
              </w:rPr>
              <w:t>Percent of hospital boards</w:t>
            </w:r>
          </w:p>
          <w:p w:rsidR="00F24F28" w:rsidRPr="00146DD0" w:rsidRDefault="00F24F28" w:rsidP="000C63D2">
            <w:pPr>
              <w:rPr>
                <w:sz w:val="20"/>
                <w:szCs w:val="20"/>
              </w:rPr>
            </w:pPr>
            <w:r w:rsidRPr="00146DD0">
              <w:rPr>
                <w:sz w:val="20"/>
                <w:szCs w:val="20"/>
              </w:rPr>
              <w:t>with RN members</w:t>
            </w:r>
          </w:p>
        </w:tc>
      </w:tr>
    </w:tbl>
    <w:p w:rsidR="00146DD0" w:rsidRPr="00146DD0" w:rsidRDefault="00146DD0" w:rsidP="00F24F28">
      <w:pPr>
        <w:spacing w:before="240" w:after="120" w:line="240" w:lineRule="auto"/>
        <w:rPr>
          <w:b/>
        </w:rPr>
      </w:pPr>
      <w:r w:rsidRPr="00146DD0">
        <w:rPr>
          <w:b/>
        </w:rPr>
        <w:br w:type="page"/>
      </w:r>
    </w:p>
    <w:p w:rsidR="00F24F28" w:rsidRPr="00146DD0" w:rsidRDefault="00F24F28" w:rsidP="0030154D">
      <w:pPr>
        <w:pStyle w:val="Heading1"/>
      </w:pPr>
      <w:r w:rsidRPr="00146DD0">
        <w:lastRenderedPageBreak/>
        <w:t>Nurses should achieve higher levels of education and training through an improved education system that promotes seamless academic progression.</w:t>
      </w:r>
    </w:p>
    <w:tbl>
      <w:tblPr>
        <w:tblStyle w:val="TableGrid"/>
        <w:tblW w:w="13608" w:type="dxa"/>
        <w:tblLook w:val="04A0" w:firstRow="1" w:lastRow="0" w:firstColumn="1" w:lastColumn="0" w:noHBand="0" w:noVBand="1"/>
      </w:tblPr>
      <w:tblGrid>
        <w:gridCol w:w="3168"/>
        <w:gridCol w:w="7560"/>
        <w:gridCol w:w="2880"/>
      </w:tblGrid>
      <w:tr w:rsidR="00EA02DE" w:rsidRPr="00146DD0" w:rsidTr="00EA02DE">
        <w:trPr>
          <w:tblHeader/>
        </w:trPr>
        <w:tc>
          <w:tcPr>
            <w:tcW w:w="3168" w:type="dxa"/>
            <w:vAlign w:val="center"/>
          </w:tcPr>
          <w:p w:rsidR="00EA02DE" w:rsidRPr="00146DD0" w:rsidRDefault="00EA02DE" w:rsidP="00EA02DE">
            <w:pPr>
              <w:jc w:val="center"/>
              <w:rPr>
                <w:b/>
                <w:sz w:val="20"/>
                <w:szCs w:val="20"/>
              </w:rPr>
            </w:pPr>
            <w:r w:rsidRPr="00146DD0">
              <w:rPr>
                <w:b/>
                <w:sz w:val="20"/>
                <w:szCs w:val="20"/>
              </w:rPr>
              <w:t>Recommendations</w:t>
            </w:r>
          </w:p>
        </w:tc>
        <w:tc>
          <w:tcPr>
            <w:tcW w:w="7560" w:type="dxa"/>
            <w:vAlign w:val="center"/>
          </w:tcPr>
          <w:p w:rsidR="00EA02DE" w:rsidRPr="00146DD0" w:rsidRDefault="00EA02DE" w:rsidP="00EA02DE">
            <w:pPr>
              <w:ind w:left="72"/>
              <w:jc w:val="center"/>
              <w:rPr>
                <w:b/>
                <w:sz w:val="20"/>
                <w:szCs w:val="20"/>
              </w:rPr>
            </w:pPr>
            <w:r w:rsidRPr="00146DD0">
              <w:rPr>
                <w:b/>
                <w:sz w:val="20"/>
                <w:szCs w:val="20"/>
              </w:rPr>
              <w:t>Actions</w:t>
            </w:r>
          </w:p>
        </w:tc>
        <w:tc>
          <w:tcPr>
            <w:tcW w:w="2880" w:type="dxa"/>
            <w:vAlign w:val="center"/>
          </w:tcPr>
          <w:p w:rsidR="00EA02DE" w:rsidRPr="00146DD0" w:rsidRDefault="00EA02DE" w:rsidP="00EA02DE">
            <w:pPr>
              <w:jc w:val="center"/>
              <w:rPr>
                <w:b/>
                <w:sz w:val="20"/>
                <w:szCs w:val="20"/>
              </w:rPr>
            </w:pPr>
            <w:r w:rsidRPr="00146DD0">
              <w:rPr>
                <w:b/>
                <w:sz w:val="20"/>
                <w:szCs w:val="20"/>
              </w:rPr>
              <w:t>FoN Campaign for Action Dashboard</w:t>
            </w:r>
          </w:p>
        </w:tc>
      </w:tr>
      <w:tr w:rsidR="00146DD0" w:rsidRPr="00146DD0" w:rsidTr="003608BF">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3168" w:type="dxa"/>
          </w:tcPr>
          <w:p w:rsidR="00F24F28" w:rsidRPr="00146DD0" w:rsidRDefault="00F24F28" w:rsidP="00ED4718">
            <w:pPr>
              <w:rPr>
                <w:sz w:val="20"/>
                <w:szCs w:val="20"/>
              </w:rPr>
            </w:pPr>
            <w:r w:rsidRPr="00146DD0">
              <w:rPr>
                <w:b/>
                <w:sz w:val="20"/>
                <w:szCs w:val="20"/>
              </w:rPr>
              <w:t>Recommendation 3: Implement nurse residency programs.</w:t>
            </w:r>
            <w:r w:rsidRPr="00146DD0">
              <w:rPr>
                <w:sz w:val="20"/>
                <w:szCs w:val="20"/>
              </w:rPr>
              <w:t xml:space="preserve"> State boards of nursing, accrediting bodies, the federal government, and health care organizations should take actions to support nurses’ completion of a transition-to-practice program (nurse residency) after they have completed a prelicensure or advanced practice degree program or when they are transitioning into new clinical practice areas.</w:t>
            </w:r>
          </w:p>
        </w:tc>
        <w:tc>
          <w:tcPr>
            <w:tcW w:w="7560" w:type="dxa"/>
          </w:tcPr>
          <w:p w:rsidR="00F24F28" w:rsidRPr="00146DD0" w:rsidRDefault="00F24F28" w:rsidP="00780901">
            <w:pPr>
              <w:pStyle w:val="ListParagraph"/>
              <w:numPr>
                <w:ilvl w:val="0"/>
                <w:numId w:val="15"/>
              </w:numPr>
              <w:ind w:left="252" w:hanging="180"/>
              <w:rPr>
                <w:sz w:val="20"/>
                <w:szCs w:val="20"/>
              </w:rPr>
            </w:pPr>
            <w:r w:rsidRPr="00146DD0">
              <w:rPr>
                <w:sz w:val="20"/>
                <w:szCs w:val="20"/>
              </w:rPr>
              <w:t>State boards of nursing, in collaboration with accrediting bodies such as the Joint Commission and the Community Health Accreditation Program, should support nurses’ completion of a residency program after they have completed a prelicensure or advanced practice degree program or when they are transitioning into new clinical practice areas.</w:t>
            </w:r>
          </w:p>
          <w:p w:rsidR="00F24F28" w:rsidRPr="00146DD0" w:rsidRDefault="00F24F28" w:rsidP="00780901">
            <w:pPr>
              <w:pStyle w:val="ListParagraph"/>
              <w:numPr>
                <w:ilvl w:val="0"/>
                <w:numId w:val="15"/>
              </w:numPr>
              <w:ind w:left="252" w:hanging="180"/>
              <w:rPr>
                <w:sz w:val="20"/>
                <w:szCs w:val="20"/>
              </w:rPr>
            </w:pPr>
            <w:r w:rsidRPr="00146DD0">
              <w:rPr>
                <w:sz w:val="20"/>
                <w:szCs w:val="20"/>
              </w:rPr>
              <w:t>The Secretary of Health and Human Services should redirect all graduate medical education funding from diploma nursing programs to support the implementation of nurse residency programs in rural and critical access areas.</w:t>
            </w:r>
          </w:p>
          <w:p w:rsidR="00F24F28" w:rsidRPr="00146DD0" w:rsidRDefault="00F24F28" w:rsidP="00780901">
            <w:pPr>
              <w:pStyle w:val="ListParagraph"/>
              <w:numPr>
                <w:ilvl w:val="0"/>
                <w:numId w:val="15"/>
              </w:numPr>
              <w:ind w:left="252" w:hanging="180"/>
              <w:rPr>
                <w:sz w:val="20"/>
                <w:szCs w:val="20"/>
              </w:rPr>
            </w:pPr>
            <w:r w:rsidRPr="00146DD0">
              <w:rPr>
                <w:sz w:val="20"/>
                <w:szCs w:val="20"/>
              </w:rPr>
              <w:t>Health care organizations, the Health Resources and Services Administration and Centers for Medicare and Medicaid Services, and philanthropic organizations should fund the development and implementation of nurse residency programs across all practice settings.</w:t>
            </w:r>
          </w:p>
          <w:p w:rsidR="00F24F28" w:rsidRPr="00146DD0" w:rsidRDefault="00F24F28" w:rsidP="00780901">
            <w:pPr>
              <w:pStyle w:val="ListParagraph"/>
              <w:numPr>
                <w:ilvl w:val="0"/>
                <w:numId w:val="15"/>
              </w:numPr>
              <w:ind w:left="252" w:hanging="180"/>
              <w:rPr>
                <w:sz w:val="20"/>
                <w:szCs w:val="20"/>
              </w:rPr>
            </w:pPr>
            <w:r w:rsidRPr="00146DD0">
              <w:rPr>
                <w:sz w:val="20"/>
                <w:szCs w:val="20"/>
              </w:rPr>
              <w:t>Health care organizations that offer nurse residency programs and foundations should evaluate the effectiveness of the residency programs in improving the retention of nurses, expanding competencies, and improving patient outcomes.</w:t>
            </w:r>
          </w:p>
        </w:tc>
        <w:tc>
          <w:tcPr>
            <w:tcW w:w="2880" w:type="dxa"/>
          </w:tcPr>
          <w:p w:rsidR="00F24F28" w:rsidRPr="00146DD0" w:rsidRDefault="00F24F28" w:rsidP="00505826">
            <w:pPr>
              <w:rPr>
                <w:sz w:val="20"/>
                <w:szCs w:val="20"/>
              </w:rPr>
            </w:pPr>
          </w:p>
        </w:tc>
      </w:tr>
      <w:tr w:rsidR="00146DD0" w:rsidRPr="00146DD0" w:rsidTr="003608BF">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703"/>
        </w:trPr>
        <w:tc>
          <w:tcPr>
            <w:tcW w:w="3168" w:type="dxa"/>
          </w:tcPr>
          <w:p w:rsidR="00F24F28" w:rsidRPr="00146DD0" w:rsidRDefault="00F24F28" w:rsidP="00ED4718">
            <w:pPr>
              <w:rPr>
                <w:sz w:val="20"/>
                <w:szCs w:val="20"/>
              </w:rPr>
            </w:pPr>
            <w:r w:rsidRPr="00146DD0">
              <w:rPr>
                <w:b/>
                <w:sz w:val="20"/>
                <w:szCs w:val="20"/>
              </w:rPr>
              <w:t>Recommendation 4: Increase the proportion of nurses with a baccalaureate degree to 80 percent by 2020.</w:t>
            </w:r>
            <w:r w:rsidRPr="00146DD0">
              <w:rPr>
                <w:sz w:val="20"/>
                <w:szCs w:val="20"/>
              </w:rPr>
              <w:t xml:space="preserve"> Academic nurse leaders across all schools of nursing should work together to increase the proportion of nurses with a baccalaureate degree from 50 to 80 percent by 2020. These leaders should partner with education accrediting bodies, private and public funders, and employers to ensure funding, monitor progress, and increase the diversity of students to create a workforce prepared to meet the demands of diverse populations across the lifespan.</w:t>
            </w:r>
          </w:p>
        </w:tc>
        <w:tc>
          <w:tcPr>
            <w:tcW w:w="7560" w:type="dxa"/>
          </w:tcPr>
          <w:p w:rsidR="00F24F28" w:rsidRPr="00146DD0" w:rsidRDefault="00F24F28" w:rsidP="006A546D">
            <w:pPr>
              <w:pStyle w:val="ListParagraph"/>
              <w:numPr>
                <w:ilvl w:val="0"/>
                <w:numId w:val="15"/>
              </w:numPr>
              <w:ind w:left="252" w:hanging="180"/>
              <w:rPr>
                <w:sz w:val="20"/>
                <w:szCs w:val="20"/>
              </w:rPr>
            </w:pPr>
            <w:r w:rsidRPr="00146DD0">
              <w:rPr>
                <w:sz w:val="20"/>
                <w:szCs w:val="20"/>
              </w:rPr>
              <w:t>The Commission on Collegiate Nursing Education, working in collaboration with the National League for Nursing Accrediting Commission, should require all nursing schools to offer defined academic pathways, beyond articulation agreements, that promote seamless access for nurses to higher levels of education.</w:t>
            </w:r>
          </w:p>
          <w:p w:rsidR="00F24F28" w:rsidRPr="00146DD0" w:rsidRDefault="00F24F28" w:rsidP="006A546D">
            <w:pPr>
              <w:pStyle w:val="ListParagraph"/>
              <w:numPr>
                <w:ilvl w:val="0"/>
                <w:numId w:val="15"/>
              </w:numPr>
              <w:ind w:left="252" w:hanging="180"/>
              <w:rPr>
                <w:sz w:val="20"/>
                <w:szCs w:val="20"/>
              </w:rPr>
            </w:pPr>
            <w:r w:rsidRPr="00146DD0">
              <w:rPr>
                <w:sz w:val="20"/>
                <w:szCs w:val="20"/>
              </w:rPr>
              <w:t>Health care organizations should encourage nurses with associate’s and diploma degrees to enter baccalaureate nursing programs within 5 years of graduation by offering tuition reimbursement, creating a culture that fosters continuing education, and providing a salary differential and promotion.</w:t>
            </w:r>
          </w:p>
          <w:p w:rsidR="00F24F28" w:rsidRPr="00146DD0" w:rsidRDefault="00F24F28" w:rsidP="006A546D">
            <w:pPr>
              <w:pStyle w:val="ListParagraph"/>
              <w:numPr>
                <w:ilvl w:val="0"/>
                <w:numId w:val="15"/>
              </w:numPr>
              <w:ind w:left="252" w:hanging="180"/>
              <w:rPr>
                <w:sz w:val="20"/>
                <w:szCs w:val="20"/>
              </w:rPr>
            </w:pPr>
            <w:r w:rsidRPr="00146DD0">
              <w:rPr>
                <w:sz w:val="20"/>
                <w:szCs w:val="20"/>
              </w:rPr>
              <w:t>Private and public funders should collaborate, and when possible pool funds, to expand baccalaureate programs to enroll more students by offering scholarships and loan forgiveness, hiring more faculty, expanding clinical instruction through new clinical partnerships, and using technology to augment instruction. These efforts should take into consideration strategies to increase the diversity of the nursing workforce in terms of race/ethnicity, gender, and geographic distribution.</w:t>
            </w:r>
          </w:p>
          <w:p w:rsidR="00F24F28" w:rsidRPr="00146DD0" w:rsidRDefault="00F24F28" w:rsidP="006A546D">
            <w:pPr>
              <w:pStyle w:val="ListParagraph"/>
              <w:numPr>
                <w:ilvl w:val="0"/>
                <w:numId w:val="15"/>
              </w:numPr>
              <w:ind w:left="252" w:hanging="180"/>
              <w:rPr>
                <w:sz w:val="20"/>
                <w:szCs w:val="20"/>
              </w:rPr>
            </w:pPr>
            <w:r w:rsidRPr="00146DD0">
              <w:rPr>
                <w:sz w:val="20"/>
                <w:szCs w:val="20"/>
              </w:rPr>
              <w:t>The U.S. Secretary of Education, other federal agencies including the Health Resources and Services Administration, and state and private funders should expand loans and grants for second-degree nursing students.</w:t>
            </w:r>
          </w:p>
          <w:p w:rsidR="00F24F28" w:rsidRPr="00146DD0" w:rsidRDefault="00F24F28" w:rsidP="006A546D">
            <w:pPr>
              <w:pStyle w:val="ListParagraph"/>
              <w:numPr>
                <w:ilvl w:val="0"/>
                <w:numId w:val="15"/>
              </w:numPr>
              <w:ind w:left="252" w:hanging="180"/>
              <w:rPr>
                <w:sz w:val="20"/>
                <w:szCs w:val="20"/>
              </w:rPr>
            </w:pPr>
            <w:r w:rsidRPr="00146DD0">
              <w:rPr>
                <w:sz w:val="20"/>
                <w:szCs w:val="20"/>
              </w:rPr>
              <w:lastRenderedPageBreak/>
              <w:t>Schools of nursing, in collaboration with other health professional schools, should design and implement early and continuous interprofessional collaboration through joint classroom and clinical training opportunities.</w:t>
            </w:r>
          </w:p>
          <w:p w:rsidR="00F24F28" w:rsidRPr="00146DD0" w:rsidRDefault="00F24F28" w:rsidP="00146DD0">
            <w:pPr>
              <w:pStyle w:val="ListParagraph"/>
              <w:numPr>
                <w:ilvl w:val="0"/>
                <w:numId w:val="15"/>
              </w:numPr>
              <w:ind w:left="252" w:hanging="180"/>
              <w:rPr>
                <w:sz w:val="20"/>
                <w:szCs w:val="20"/>
              </w:rPr>
            </w:pPr>
            <w:r w:rsidRPr="00146DD0">
              <w:rPr>
                <w:sz w:val="20"/>
                <w:szCs w:val="20"/>
              </w:rPr>
              <w:t>Academic nurse leaders should partner with health care organizations, leaders from primary and secondary school systems, and other community organizations to recruit and advance diverse nursing students.</w:t>
            </w:r>
          </w:p>
        </w:tc>
        <w:tc>
          <w:tcPr>
            <w:tcW w:w="2880" w:type="dxa"/>
          </w:tcPr>
          <w:p w:rsidR="00F24F28" w:rsidRPr="00146DD0" w:rsidRDefault="00F24F28" w:rsidP="00286377">
            <w:pPr>
              <w:rPr>
                <w:b/>
                <w:sz w:val="20"/>
                <w:szCs w:val="20"/>
              </w:rPr>
            </w:pPr>
            <w:r w:rsidRPr="00146DD0">
              <w:rPr>
                <w:b/>
                <w:sz w:val="20"/>
                <w:szCs w:val="20"/>
              </w:rPr>
              <w:lastRenderedPageBreak/>
              <w:t>Indicator 1: education</w:t>
            </w:r>
          </w:p>
          <w:p w:rsidR="00F24F28" w:rsidRPr="00146DD0" w:rsidRDefault="00F24F28" w:rsidP="00286377">
            <w:pPr>
              <w:rPr>
                <w:sz w:val="20"/>
                <w:szCs w:val="20"/>
              </w:rPr>
            </w:pPr>
            <w:r w:rsidRPr="00146DD0">
              <w:rPr>
                <w:sz w:val="20"/>
                <w:szCs w:val="20"/>
              </w:rPr>
              <w:t>Percentage of employed nurses</w:t>
            </w:r>
          </w:p>
          <w:p w:rsidR="00F24F28" w:rsidRPr="00146DD0" w:rsidRDefault="00F24F28" w:rsidP="00286377">
            <w:pPr>
              <w:rPr>
                <w:sz w:val="20"/>
                <w:szCs w:val="20"/>
              </w:rPr>
            </w:pPr>
            <w:r w:rsidRPr="00146DD0">
              <w:rPr>
                <w:sz w:val="20"/>
                <w:szCs w:val="20"/>
              </w:rPr>
              <w:t>with baccalaureate degree in</w:t>
            </w:r>
          </w:p>
          <w:p w:rsidR="00F24F28" w:rsidRPr="00146DD0" w:rsidRDefault="00F24F28" w:rsidP="00C246DC">
            <w:pPr>
              <w:rPr>
                <w:sz w:val="20"/>
                <w:szCs w:val="20"/>
              </w:rPr>
            </w:pPr>
            <w:r w:rsidRPr="00146DD0">
              <w:rPr>
                <w:sz w:val="20"/>
                <w:szCs w:val="20"/>
              </w:rPr>
              <w:t>nursing or higher degree</w:t>
            </w:r>
          </w:p>
        </w:tc>
      </w:tr>
      <w:tr w:rsidR="00146DD0" w:rsidRPr="00146DD0" w:rsidTr="003608BF">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3168" w:type="dxa"/>
          </w:tcPr>
          <w:p w:rsidR="00F24F28" w:rsidRPr="00146DD0" w:rsidRDefault="00F24F28" w:rsidP="00ED4718">
            <w:pPr>
              <w:rPr>
                <w:sz w:val="20"/>
                <w:szCs w:val="20"/>
              </w:rPr>
            </w:pPr>
            <w:r w:rsidRPr="00146DD0">
              <w:rPr>
                <w:b/>
                <w:bCs/>
                <w:sz w:val="20"/>
                <w:szCs w:val="20"/>
              </w:rPr>
              <w:lastRenderedPageBreak/>
              <w:t>Recommendation 5: Double the number of nurses with a doctorate by 2020.</w:t>
            </w:r>
            <w:r w:rsidRPr="00146DD0">
              <w:rPr>
                <w:sz w:val="20"/>
                <w:szCs w:val="20"/>
              </w:rPr>
              <w:t> Schools of nursing, with support from private and public funders, academic administrators and university trustees, and accrediting bodies, should double the number of nurses with a doctorate by 2020 to add to the cadre of nurse faculty and researchers, with attention to increasing diversity.</w:t>
            </w:r>
          </w:p>
        </w:tc>
        <w:tc>
          <w:tcPr>
            <w:tcW w:w="7560" w:type="dxa"/>
          </w:tcPr>
          <w:p w:rsidR="00F24F28" w:rsidRPr="00146DD0" w:rsidRDefault="00F24F28" w:rsidP="006A546D">
            <w:pPr>
              <w:pStyle w:val="ListParagraph"/>
              <w:numPr>
                <w:ilvl w:val="0"/>
                <w:numId w:val="15"/>
              </w:numPr>
              <w:ind w:left="252" w:hanging="180"/>
              <w:rPr>
                <w:sz w:val="20"/>
                <w:szCs w:val="20"/>
              </w:rPr>
            </w:pPr>
            <w:r w:rsidRPr="00146DD0">
              <w:rPr>
                <w:sz w:val="20"/>
                <w:szCs w:val="20"/>
              </w:rPr>
              <w:t>The Commission on Collegiate Nursing Education and the National League for Nursing Accrediting Commission should monitor the progress of each accredited nursing school to ensure that at least 10 percent of all baccalaureate graduates matriculate into a master’s or doctoral program within 5 years of graduation.</w:t>
            </w:r>
          </w:p>
          <w:p w:rsidR="00F24F28" w:rsidRPr="00146DD0" w:rsidRDefault="00F24F28" w:rsidP="006A546D">
            <w:pPr>
              <w:pStyle w:val="ListParagraph"/>
              <w:numPr>
                <w:ilvl w:val="0"/>
                <w:numId w:val="15"/>
              </w:numPr>
              <w:ind w:left="252" w:hanging="180"/>
              <w:rPr>
                <w:sz w:val="20"/>
                <w:szCs w:val="20"/>
              </w:rPr>
            </w:pPr>
            <w:r w:rsidRPr="00146DD0">
              <w:rPr>
                <w:sz w:val="20"/>
                <w:szCs w:val="20"/>
              </w:rPr>
              <w:t>Private and public funders, including the Health Resources and Services Administration and the Department of Labor, should expand funding for programs offering accelerated graduate degrees for nurses to increase the production of master’s and doctoral nurse graduates and to increase the diversity of nurse faculty and researchers.</w:t>
            </w:r>
          </w:p>
          <w:p w:rsidR="00F24F28" w:rsidRPr="00146DD0" w:rsidRDefault="00F24F28" w:rsidP="006A546D">
            <w:pPr>
              <w:pStyle w:val="ListParagraph"/>
              <w:numPr>
                <w:ilvl w:val="0"/>
                <w:numId w:val="15"/>
              </w:numPr>
              <w:ind w:left="252" w:hanging="180"/>
              <w:rPr>
                <w:sz w:val="20"/>
                <w:szCs w:val="20"/>
              </w:rPr>
            </w:pPr>
            <w:r w:rsidRPr="00146DD0">
              <w:rPr>
                <w:sz w:val="20"/>
                <w:szCs w:val="20"/>
              </w:rPr>
              <w:t>Academic administrators and university trustees should create salary and benefit packages that are market competitive to recruit and retain highly qualified academic and clinical nurse faculty.</w:t>
            </w:r>
          </w:p>
          <w:p w:rsidR="00F24F28" w:rsidRPr="00146DD0" w:rsidRDefault="00F24F28" w:rsidP="00F24F28">
            <w:pPr>
              <w:ind w:left="72"/>
              <w:rPr>
                <w:sz w:val="20"/>
                <w:szCs w:val="20"/>
              </w:rPr>
            </w:pPr>
          </w:p>
        </w:tc>
        <w:tc>
          <w:tcPr>
            <w:tcW w:w="2880" w:type="dxa"/>
          </w:tcPr>
          <w:p w:rsidR="00F24F28" w:rsidRPr="00146DD0" w:rsidRDefault="00F24F28" w:rsidP="00C246DC">
            <w:pPr>
              <w:rPr>
                <w:b/>
                <w:sz w:val="20"/>
                <w:szCs w:val="20"/>
              </w:rPr>
            </w:pPr>
            <w:r w:rsidRPr="00146DD0">
              <w:rPr>
                <w:b/>
                <w:sz w:val="20"/>
                <w:szCs w:val="20"/>
              </w:rPr>
              <w:t>Indicator 2: doctoral degrees</w:t>
            </w:r>
          </w:p>
          <w:p w:rsidR="00F24F28" w:rsidRPr="00146DD0" w:rsidRDefault="00F24F28" w:rsidP="00C246DC">
            <w:pPr>
              <w:rPr>
                <w:sz w:val="20"/>
                <w:szCs w:val="20"/>
              </w:rPr>
            </w:pPr>
            <w:r w:rsidRPr="00146DD0">
              <w:rPr>
                <w:sz w:val="20"/>
                <w:szCs w:val="20"/>
              </w:rPr>
              <w:t>Total fall enrollment in nursing</w:t>
            </w:r>
          </w:p>
          <w:p w:rsidR="00F24F28" w:rsidRPr="00146DD0" w:rsidRDefault="00F24F28" w:rsidP="00C246DC">
            <w:pPr>
              <w:rPr>
                <w:sz w:val="20"/>
                <w:szCs w:val="20"/>
              </w:rPr>
            </w:pPr>
            <w:r w:rsidRPr="00146DD0">
              <w:rPr>
                <w:sz w:val="20"/>
                <w:szCs w:val="20"/>
              </w:rPr>
              <w:t>doctorate programs</w:t>
            </w:r>
          </w:p>
        </w:tc>
      </w:tr>
      <w:tr w:rsidR="00146DD0" w:rsidRPr="00146DD0" w:rsidTr="003608BF">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3168" w:type="dxa"/>
          </w:tcPr>
          <w:p w:rsidR="00F24F28" w:rsidRPr="00146DD0" w:rsidRDefault="00F24F28" w:rsidP="00780901">
            <w:pPr>
              <w:rPr>
                <w:sz w:val="20"/>
                <w:szCs w:val="20"/>
              </w:rPr>
            </w:pPr>
            <w:r w:rsidRPr="00146DD0">
              <w:rPr>
                <w:b/>
                <w:bCs/>
                <w:sz w:val="20"/>
                <w:szCs w:val="20"/>
              </w:rPr>
              <w:t>Recommendation 6: Ensure that nurses engage in lifelong learning.</w:t>
            </w:r>
            <w:r w:rsidRPr="00146DD0">
              <w:rPr>
                <w:sz w:val="20"/>
                <w:szCs w:val="20"/>
              </w:rPr>
              <w:t> Accrediting bodies, schools of nursing, health care organizations, and continuing competency educators from multiple health professions should collaborate to ensure that nurses and nursing students and faculty continue their education and engage in lifelong learning to gain the competencies needed to provide care for diverse populations across the lifespan.</w:t>
            </w:r>
          </w:p>
          <w:p w:rsidR="00F24F28" w:rsidRPr="00146DD0" w:rsidRDefault="00F24F28" w:rsidP="00F24F28">
            <w:pPr>
              <w:ind w:left="720"/>
              <w:rPr>
                <w:sz w:val="20"/>
                <w:szCs w:val="20"/>
              </w:rPr>
            </w:pPr>
          </w:p>
        </w:tc>
        <w:tc>
          <w:tcPr>
            <w:tcW w:w="7560" w:type="dxa"/>
          </w:tcPr>
          <w:p w:rsidR="00F24F28" w:rsidRPr="00146DD0" w:rsidRDefault="00F24F28" w:rsidP="006A546D">
            <w:pPr>
              <w:pStyle w:val="ListParagraph"/>
              <w:numPr>
                <w:ilvl w:val="0"/>
                <w:numId w:val="15"/>
              </w:numPr>
              <w:ind w:left="252" w:hanging="180"/>
              <w:rPr>
                <w:sz w:val="20"/>
                <w:szCs w:val="20"/>
              </w:rPr>
            </w:pPr>
            <w:r w:rsidRPr="00146DD0">
              <w:rPr>
                <w:sz w:val="20"/>
                <w:szCs w:val="20"/>
              </w:rPr>
              <w:t>Faculty should partner with health care organizations to develop and prioritize competencies so curricula can be updated regularly to ensure that graduates at all levels are prepared to meet the current and future health needs of the population.</w:t>
            </w:r>
          </w:p>
          <w:p w:rsidR="00F24F28" w:rsidRPr="00146DD0" w:rsidRDefault="00F24F28" w:rsidP="006A546D">
            <w:pPr>
              <w:pStyle w:val="ListParagraph"/>
              <w:numPr>
                <w:ilvl w:val="0"/>
                <w:numId w:val="15"/>
              </w:numPr>
              <w:ind w:left="252" w:hanging="180"/>
              <w:rPr>
                <w:sz w:val="20"/>
                <w:szCs w:val="20"/>
              </w:rPr>
            </w:pPr>
            <w:r w:rsidRPr="00146DD0">
              <w:rPr>
                <w:sz w:val="20"/>
                <w:szCs w:val="20"/>
              </w:rPr>
              <w:t>The Commission on Collegiate Nursing Education and the National League for Nursing Accrediting Commission should require that all nursing students demonstrate a comprehensive set of clinical performance competencies that encompass the knowledge and skills needed to provide care across settings and the lifespan.</w:t>
            </w:r>
          </w:p>
          <w:p w:rsidR="00F24F28" w:rsidRPr="00146DD0" w:rsidRDefault="00F24F28" w:rsidP="006A546D">
            <w:pPr>
              <w:pStyle w:val="ListParagraph"/>
              <w:numPr>
                <w:ilvl w:val="0"/>
                <w:numId w:val="15"/>
              </w:numPr>
              <w:ind w:left="252" w:hanging="180"/>
              <w:rPr>
                <w:sz w:val="20"/>
                <w:szCs w:val="20"/>
              </w:rPr>
            </w:pPr>
            <w:r w:rsidRPr="00146DD0">
              <w:rPr>
                <w:sz w:val="20"/>
                <w:szCs w:val="20"/>
              </w:rPr>
              <w:t>Academic administrators should require all faculty to participate in continuing professional development and to perform with cutting-edge competence in practice, teaching, and research.</w:t>
            </w:r>
          </w:p>
          <w:p w:rsidR="00F24F28" w:rsidRPr="00146DD0" w:rsidRDefault="00F24F28" w:rsidP="006A546D">
            <w:pPr>
              <w:pStyle w:val="ListParagraph"/>
              <w:numPr>
                <w:ilvl w:val="0"/>
                <w:numId w:val="15"/>
              </w:numPr>
              <w:ind w:left="252" w:hanging="180"/>
              <w:rPr>
                <w:sz w:val="20"/>
                <w:szCs w:val="20"/>
              </w:rPr>
            </w:pPr>
            <w:r w:rsidRPr="00146DD0">
              <w:rPr>
                <w:sz w:val="20"/>
                <w:szCs w:val="20"/>
              </w:rPr>
              <w:t>All health care organizations and schools of nursing should foster a culture of lifelong learning and provide resources for interprofessional continuing competency programs.</w:t>
            </w:r>
          </w:p>
          <w:p w:rsidR="00F24F28" w:rsidRPr="00146DD0" w:rsidRDefault="00F24F28" w:rsidP="006A546D">
            <w:pPr>
              <w:pStyle w:val="ListParagraph"/>
              <w:numPr>
                <w:ilvl w:val="0"/>
                <w:numId w:val="15"/>
              </w:numPr>
              <w:ind w:left="252" w:hanging="180"/>
              <w:rPr>
                <w:sz w:val="20"/>
                <w:szCs w:val="20"/>
              </w:rPr>
            </w:pPr>
            <w:r w:rsidRPr="00146DD0">
              <w:rPr>
                <w:sz w:val="20"/>
                <w:szCs w:val="20"/>
              </w:rPr>
              <w:t>Health care organizations and other organizations that offer continuing competency programs should regularly evaluate their programs for adaptability, flexibility, accessibility, and impact on clinical outcomes and update the programs accordingly</w:t>
            </w:r>
          </w:p>
        </w:tc>
        <w:tc>
          <w:tcPr>
            <w:tcW w:w="2880" w:type="dxa"/>
          </w:tcPr>
          <w:p w:rsidR="00F24F28" w:rsidRPr="00146DD0" w:rsidRDefault="00F24F28" w:rsidP="00FF3A31">
            <w:pPr>
              <w:rPr>
                <w:sz w:val="20"/>
                <w:szCs w:val="20"/>
              </w:rPr>
            </w:pPr>
          </w:p>
        </w:tc>
      </w:tr>
    </w:tbl>
    <w:p w:rsidR="00146DD0" w:rsidRPr="00146DD0" w:rsidRDefault="00146DD0" w:rsidP="00F24F28">
      <w:pPr>
        <w:spacing w:before="240" w:after="120" w:line="240" w:lineRule="auto"/>
        <w:rPr>
          <w:b/>
        </w:rPr>
      </w:pPr>
      <w:r w:rsidRPr="00146DD0">
        <w:rPr>
          <w:b/>
        </w:rPr>
        <w:br w:type="page"/>
      </w:r>
    </w:p>
    <w:p w:rsidR="00F24F28" w:rsidRPr="00146DD0" w:rsidRDefault="00F24F28" w:rsidP="0030154D">
      <w:pPr>
        <w:pStyle w:val="Heading1"/>
      </w:pPr>
      <w:r w:rsidRPr="00146DD0">
        <w:lastRenderedPageBreak/>
        <w:t>Effective workforce planning and policy-making require better data collection and an improved information infrastructure.</w:t>
      </w:r>
    </w:p>
    <w:tbl>
      <w:tblPr>
        <w:tblStyle w:val="TableGrid"/>
        <w:tblW w:w="136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780"/>
        <w:gridCol w:w="6948"/>
        <w:gridCol w:w="2880"/>
      </w:tblGrid>
      <w:tr w:rsidR="00EA02DE" w:rsidRPr="00146DD0" w:rsidTr="00AE461D">
        <w:trPr>
          <w:tblHeader/>
        </w:trPr>
        <w:tc>
          <w:tcPr>
            <w:tcW w:w="3780" w:type="dxa"/>
            <w:vAlign w:val="center"/>
          </w:tcPr>
          <w:p w:rsidR="00EA02DE" w:rsidRPr="00146DD0" w:rsidRDefault="00EA02DE" w:rsidP="00280C25">
            <w:pPr>
              <w:jc w:val="center"/>
              <w:rPr>
                <w:b/>
                <w:sz w:val="20"/>
                <w:szCs w:val="20"/>
              </w:rPr>
            </w:pPr>
            <w:r w:rsidRPr="00146DD0">
              <w:rPr>
                <w:b/>
                <w:sz w:val="20"/>
                <w:szCs w:val="20"/>
              </w:rPr>
              <w:t>Recommendations</w:t>
            </w:r>
          </w:p>
        </w:tc>
        <w:tc>
          <w:tcPr>
            <w:tcW w:w="6948" w:type="dxa"/>
            <w:vAlign w:val="center"/>
          </w:tcPr>
          <w:p w:rsidR="00EA02DE" w:rsidRPr="00146DD0" w:rsidRDefault="00EA02DE" w:rsidP="00280C25">
            <w:pPr>
              <w:ind w:left="72"/>
              <w:jc w:val="center"/>
              <w:rPr>
                <w:b/>
                <w:sz w:val="20"/>
                <w:szCs w:val="20"/>
              </w:rPr>
            </w:pPr>
            <w:r w:rsidRPr="00146DD0">
              <w:rPr>
                <w:b/>
                <w:sz w:val="20"/>
                <w:szCs w:val="20"/>
              </w:rPr>
              <w:t>Actions</w:t>
            </w:r>
          </w:p>
        </w:tc>
        <w:tc>
          <w:tcPr>
            <w:tcW w:w="2880" w:type="dxa"/>
            <w:vAlign w:val="center"/>
          </w:tcPr>
          <w:p w:rsidR="00EA02DE" w:rsidRPr="00146DD0" w:rsidRDefault="00EA02DE" w:rsidP="00280C25">
            <w:pPr>
              <w:jc w:val="center"/>
              <w:rPr>
                <w:b/>
                <w:sz w:val="20"/>
                <w:szCs w:val="20"/>
              </w:rPr>
            </w:pPr>
            <w:r w:rsidRPr="00146DD0">
              <w:rPr>
                <w:b/>
                <w:sz w:val="20"/>
                <w:szCs w:val="20"/>
              </w:rPr>
              <w:t>FoN Campaign for Action Dashboard</w:t>
            </w:r>
          </w:p>
        </w:tc>
      </w:tr>
      <w:tr w:rsidR="00146DD0" w:rsidRPr="00146DD0" w:rsidTr="00DE2192">
        <w:tc>
          <w:tcPr>
            <w:tcW w:w="3780" w:type="dxa"/>
          </w:tcPr>
          <w:p w:rsidR="00F24F28" w:rsidRPr="00146DD0" w:rsidRDefault="00F24F28" w:rsidP="00780901">
            <w:pPr>
              <w:rPr>
                <w:sz w:val="20"/>
                <w:szCs w:val="20"/>
              </w:rPr>
            </w:pPr>
            <w:r w:rsidRPr="00146DD0">
              <w:rPr>
                <w:b/>
                <w:bCs/>
                <w:sz w:val="20"/>
                <w:szCs w:val="20"/>
              </w:rPr>
              <w:t>Recommendation 8: Build an infrastructure for the collection and analysis of interprofessional health care workforce data.</w:t>
            </w:r>
            <w:r w:rsidRPr="00146DD0">
              <w:rPr>
                <w:sz w:val="20"/>
                <w:szCs w:val="20"/>
              </w:rPr>
              <w:t> The National Health Care Workforce Commission, with oversight from the Government Accountability Office and the Health Resources and Services Administration, should lead a collaborative effort to improve research and the collection and analysis of data on health care workforce requirements. The Workforce Commission and the Health Resources and Services Administration should collaborate with state licensing boards, state nursing workforce centers, and the Department of Labor in this effort to ensure that the data are timely and publicly accessible.</w:t>
            </w:r>
          </w:p>
          <w:p w:rsidR="00F24F28" w:rsidRPr="00146DD0" w:rsidRDefault="00F24F28" w:rsidP="006A546D">
            <w:pPr>
              <w:rPr>
                <w:sz w:val="20"/>
                <w:szCs w:val="20"/>
              </w:rPr>
            </w:pPr>
          </w:p>
        </w:tc>
        <w:tc>
          <w:tcPr>
            <w:tcW w:w="6948" w:type="dxa"/>
          </w:tcPr>
          <w:p w:rsidR="00F24F28" w:rsidRPr="00146DD0" w:rsidRDefault="00F24F28" w:rsidP="006A546D">
            <w:pPr>
              <w:pStyle w:val="ListParagraph"/>
              <w:numPr>
                <w:ilvl w:val="0"/>
                <w:numId w:val="15"/>
              </w:numPr>
              <w:ind w:left="252" w:hanging="180"/>
              <w:rPr>
                <w:sz w:val="20"/>
                <w:szCs w:val="20"/>
              </w:rPr>
            </w:pPr>
            <w:r w:rsidRPr="00146DD0">
              <w:rPr>
                <w:sz w:val="20"/>
                <w:szCs w:val="20"/>
              </w:rPr>
              <w:t>The Workforce Commission and the Health Resources and Services Administration should coordinate with state licensing boards, including those for nursing, medicine, dentistry, and pharmacy, to develop and promulgate a standardized minimum data set across states and professions that can be used to assess health care workforce needs by demographics, numbers, skill mix, and geographic distribution.</w:t>
            </w:r>
          </w:p>
          <w:p w:rsidR="00F24F28" w:rsidRPr="00146DD0" w:rsidRDefault="00F24F28" w:rsidP="006A546D">
            <w:pPr>
              <w:pStyle w:val="ListParagraph"/>
              <w:numPr>
                <w:ilvl w:val="0"/>
                <w:numId w:val="15"/>
              </w:numPr>
              <w:ind w:left="252" w:hanging="180"/>
              <w:rPr>
                <w:sz w:val="20"/>
                <w:szCs w:val="20"/>
              </w:rPr>
            </w:pPr>
            <w:r w:rsidRPr="00146DD0">
              <w:rPr>
                <w:sz w:val="20"/>
                <w:szCs w:val="20"/>
              </w:rPr>
              <w:t>The Workforce Commission and the Health Resources and Services Administration should set standards for the collection of the minimum data set by state licensing boards; oversee, coordinate, and house the data; and make the data publicly accessible.</w:t>
            </w:r>
          </w:p>
          <w:p w:rsidR="00F24F28" w:rsidRPr="00146DD0" w:rsidRDefault="00F24F28" w:rsidP="006A546D">
            <w:pPr>
              <w:pStyle w:val="ListParagraph"/>
              <w:numPr>
                <w:ilvl w:val="0"/>
                <w:numId w:val="15"/>
              </w:numPr>
              <w:ind w:left="252" w:hanging="180"/>
              <w:rPr>
                <w:sz w:val="20"/>
                <w:szCs w:val="20"/>
              </w:rPr>
            </w:pPr>
            <w:r w:rsidRPr="00146DD0">
              <w:rPr>
                <w:sz w:val="20"/>
                <w:szCs w:val="20"/>
              </w:rPr>
              <w:t>The Workforce Commission and the Health Resources and Services Administration should retain, but bolster, the Health Resources and Services Administration’s registered nurse sample survey by increasing the sample size, fielding the survey every other year, expanding the data collected on advanced practice registered nurses, and releasing survey results more quickly.</w:t>
            </w:r>
          </w:p>
          <w:p w:rsidR="00F24F28" w:rsidRPr="00146DD0" w:rsidRDefault="00F24F28" w:rsidP="006A546D">
            <w:pPr>
              <w:pStyle w:val="ListParagraph"/>
              <w:numPr>
                <w:ilvl w:val="0"/>
                <w:numId w:val="15"/>
              </w:numPr>
              <w:ind w:left="252" w:hanging="180"/>
              <w:rPr>
                <w:sz w:val="20"/>
                <w:szCs w:val="20"/>
              </w:rPr>
            </w:pPr>
            <w:r w:rsidRPr="00146DD0">
              <w:rPr>
                <w:sz w:val="20"/>
                <w:szCs w:val="20"/>
              </w:rPr>
              <w:t>The Workforce Commission and the Health Resources and Services Administration should establish a monitoring system that uses the most current analytic approaches and data from the minimum data set to systematically measure and project nursing workforce requirements by role, skill mix, region, and demographics.</w:t>
            </w:r>
          </w:p>
          <w:p w:rsidR="00F24F28" w:rsidRPr="00146DD0" w:rsidRDefault="00F24F28" w:rsidP="006A546D">
            <w:pPr>
              <w:pStyle w:val="ListParagraph"/>
              <w:numPr>
                <w:ilvl w:val="0"/>
                <w:numId w:val="15"/>
              </w:numPr>
              <w:ind w:left="252" w:hanging="180"/>
              <w:rPr>
                <w:sz w:val="20"/>
                <w:szCs w:val="20"/>
              </w:rPr>
            </w:pPr>
            <w:r w:rsidRPr="00146DD0">
              <w:rPr>
                <w:sz w:val="20"/>
                <w:szCs w:val="20"/>
              </w:rPr>
              <w:t>The Workforce Commission and the Health Resources and Services Administration should coordinate workforce research efforts with the Department of Labor, state and regional educators, employers, and state nursing workforce centers to identify regional health care workforce needs, and establish regional targets and plans for appropriately increasing the supply of health professionals.</w:t>
            </w:r>
          </w:p>
          <w:p w:rsidR="00F24F28" w:rsidRPr="00146DD0" w:rsidRDefault="00F24F28" w:rsidP="006A546D">
            <w:pPr>
              <w:pStyle w:val="ListParagraph"/>
              <w:numPr>
                <w:ilvl w:val="0"/>
                <w:numId w:val="15"/>
              </w:numPr>
              <w:ind w:left="252" w:hanging="180"/>
              <w:rPr>
                <w:sz w:val="20"/>
                <w:szCs w:val="20"/>
              </w:rPr>
            </w:pPr>
            <w:r w:rsidRPr="00146DD0">
              <w:rPr>
                <w:sz w:val="20"/>
                <w:szCs w:val="20"/>
              </w:rPr>
              <w:t>The Government Accountability Office should ensure that the Workforce Commission membership includes adequate nursing expertise.</w:t>
            </w:r>
          </w:p>
          <w:p w:rsidR="00F24F28" w:rsidRPr="00146DD0" w:rsidRDefault="00F24F28" w:rsidP="006A546D">
            <w:pPr>
              <w:pStyle w:val="ListParagraph"/>
              <w:numPr>
                <w:ilvl w:val="0"/>
                <w:numId w:val="15"/>
              </w:numPr>
              <w:ind w:left="252" w:hanging="180"/>
              <w:rPr>
                <w:sz w:val="20"/>
                <w:szCs w:val="20"/>
              </w:rPr>
            </w:pPr>
          </w:p>
        </w:tc>
        <w:tc>
          <w:tcPr>
            <w:tcW w:w="2880" w:type="dxa"/>
          </w:tcPr>
          <w:p w:rsidR="00F24F28" w:rsidRPr="00146DD0" w:rsidRDefault="00F24F28" w:rsidP="006A546D">
            <w:pPr>
              <w:rPr>
                <w:b/>
                <w:sz w:val="20"/>
                <w:szCs w:val="20"/>
              </w:rPr>
            </w:pPr>
            <w:r w:rsidRPr="00146DD0">
              <w:rPr>
                <w:b/>
                <w:sz w:val="20"/>
                <w:szCs w:val="20"/>
              </w:rPr>
              <w:t>Indicator 6: workforce data</w:t>
            </w:r>
          </w:p>
          <w:p w:rsidR="00F24F28" w:rsidRPr="00146DD0" w:rsidRDefault="00F24F28" w:rsidP="006A546D">
            <w:pPr>
              <w:rPr>
                <w:sz w:val="20"/>
                <w:szCs w:val="20"/>
              </w:rPr>
            </w:pPr>
            <w:r w:rsidRPr="00146DD0">
              <w:rPr>
                <w:sz w:val="20"/>
                <w:szCs w:val="20"/>
              </w:rPr>
              <w:t>Number of recommended data</w:t>
            </w:r>
          </w:p>
          <w:p w:rsidR="00F24F28" w:rsidRPr="00146DD0" w:rsidRDefault="00F24F28" w:rsidP="006A546D">
            <w:pPr>
              <w:rPr>
                <w:sz w:val="20"/>
                <w:szCs w:val="20"/>
              </w:rPr>
            </w:pPr>
            <w:r w:rsidRPr="00146DD0">
              <w:rPr>
                <w:sz w:val="20"/>
                <w:szCs w:val="20"/>
              </w:rPr>
              <w:t>items collected by the states</w:t>
            </w:r>
          </w:p>
        </w:tc>
      </w:tr>
    </w:tbl>
    <w:p w:rsidR="0034624F" w:rsidRPr="00146DD0" w:rsidRDefault="002774FD" w:rsidP="00652676"/>
    <w:sectPr w:rsidR="0034624F" w:rsidRPr="00146DD0" w:rsidSect="00146DD0">
      <w:headerReference w:type="default" r:id="rId8"/>
      <w:footerReference w:type="default" r:id="rId9"/>
      <w:pgSz w:w="15840" w:h="12240" w:orient="landscape"/>
      <w:pgMar w:top="1267" w:right="1008" w:bottom="1267"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4FD" w:rsidRDefault="002774FD" w:rsidP="00B706A3">
      <w:pPr>
        <w:spacing w:after="0" w:line="240" w:lineRule="auto"/>
      </w:pPr>
      <w:r>
        <w:separator/>
      </w:r>
    </w:p>
  </w:endnote>
  <w:endnote w:type="continuationSeparator" w:id="0">
    <w:p w:rsidR="002774FD" w:rsidRDefault="002774FD" w:rsidP="00B70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54D" w:rsidRPr="0030154D" w:rsidRDefault="0030154D" w:rsidP="0030154D">
    <w:pPr>
      <w:pStyle w:val="Footer"/>
      <w:tabs>
        <w:tab w:val="clear" w:pos="4680"/>
        <w:tab w:val="clear" w:pos="9360"/>
        <w:tab w:val="right" w:pos="12240"/>
      </w:tabs>
      <w:rPr>
        <w:color w:val="808080" w:themeColor="background1" w:themeShade="80"/>
      </w:rPr>
    </w:pPr>
    <w:r w:rsidRPr="0030154D">
      <w:rPr>
        <w:color w:val="808080" w:themeColor="background1" w:themeShade="80"/>
      </w:rPr>
      <w:t xml:space="preserve"> 3/14/14</w:t>
    </w:r>
    <w:r w:rsidRPr="0030154D">
      <w:rPr>
        <w:color w:val="808080" w:themeColor="background1" w:themeShade="80"/>
      </w:rPr>
      <w:tab/>
    </w:r>
    <w:sdt>
      <w:sdtPr>
        <w:rPr>
          <w:color w:val="808080" w:themeColor="background1" w:themeShade="80"/>
        </w:rPr>
        <w:id w:val="236365710"/>
        <w:docPartObj>
          <w:docPartGallery w:val="Page Numbers (Bottom of Page)"/>
          <w:docPartUnique/>
        </w:docPartObj>
      </w:sdtPr>
      <w:sdtEndPr/>
      <w:sdtContent>
        <w:sdt>
          <w:sdtPr>
            <w:rPr>
              <w:color w:val="808080" w:themeColor="background1" w:themeShade="80"/>
            </w:rPr>
            <w:id w:val="98381352"/>
            <w:docPartObj>
              <w:docPartGallery w:val="Page Numbers (Top of Page)"/>
              <w:docPartUnique/>
            </w:docPartObj>
          </w:sdtPr>
          <w:sdtEndPr/>
          <w:sdtContent>
            <w:r w:rsidRPr="0030154D">
              <w:rPr>
                <w:color w:val="808080" w:themeColor="background1" w:themeShade="80"/>
              </w:rPr>
              <w:t xml:space="preserve">Page </w:t>
            </w:r>
            <w:r w:rsidRPr="0030154D">
              <w:rPr>
                <w:b/>
                <w:bCs/>
                <w:color w:val="808080" w:themeColor="background1" w:themeShade="80"/>
                <w:sz w:val="24"/>
                <w:szCs w:val="24"/>
              </w:rPr>
              <w:fldChar w:fldCharType="begin"/>
            </w:r>
            <w:r w:rsidRPr="0030154D">
              <w:rPr>
                <w:b/>
                <w:bCs/>
                <w:color w:val="808080" w:themeColor="background1" w:themeShade="80"/>
              </w:rPr>
              <w:instrText xml:space="preserve"> PAGE </w:instrText>
            </w:r>
            <w:r w:rsidRPr="0030154D">
              <w:rPr>
                <w:b/>
                <w:bCs/>
                <w:color w:val="808080" w:themeColor="background1" w:themeShade="80"/>
                <w:sz w:val="24"/>
                <w:szCs w:val="24"/>
              </w:rPr>
              <w:fldChar w:fldCharType="separate"/>
            </w:r>
            <w:r w:rsidR="001E15D7">
              <w:rPr>
                <w:b/>
                <w:bCs/>
                <w:noProof/>
                <w:color w:val="808080" w:themeColor="background1" w:themeShade="80"/>
              </w:rPr>
              <w:t>2</w:t>
            </w:r>
            <w:r w:rsidRPr="0030154D">
              <w:rPr>
                <w:b/>
                <w:bCs/>
                <w:color w:val="808080" w:themeColor="background1" w:themeShade="80"/>
                <w:sz w:val="24"/>
                <w:szCs w:val="24"/>
              </w:rPr>
              <w:fldChar w:fldCharType="end"/>
            </w:r>
            <w:r w:rsidRPr="0030154D">
              <w:rPr>
                <w:color w:val="808080" w:themeColor="background1" w:themeShade="80"/>
              </w:rPr>
              <w:t xml:space="preserve"> of </w:t>
            </w:r>
            <w:r w:rsidRPr="0030154D">
              <w:rPr>
                <w:b/>
                <w:bCs/>
                <w:color w:val="808080" w:themeColor="background1" w:themeShade="80"/>
                <w:sz w:val="24"/>
                <w:szCs w:val="24"/>
              </w:rPr>
              <w:fldChar w:fldCharType="begin"/>
            </w:r>
            <w:r w:rsidRPr="0030154D">
              <w:rPr>
                <w:b/>
                <w:bCs/>
                <w:color w:val="808080" w:themeColor="background1" w:themeShade="80"/>
              </w:rPr>
              <w:instrText xml:space="preserve"> NUMPAGES  </w:instrText>
            </w:r>
            <w:r w:rsidRPr="0030154D">
              <w:rPr>
                <w:b/>
                <w:bCs/>
                <w:color w:val="808080" w:themeColor="background1" w:themeShade="80"/>
                <w:sz w:val="24"/>
                <w:szCs w:val="24"/>
              </w:rPr>
              <w:fldChar w:fldCharType="separate"/>
            </w:r>
            <w:r w:rsidR="001E15D7">
              <w:rPr>
                <w:b/>
                <w:bCs/>
                <w:noProof/>
                <w:color w:val="808080" w:themeColor="background1" w:themeShade="80"/>
              </w:rPr>
              <w:t>5</w:t>
            </w:r>
            <w:r w:rsidRPr="0030154D">
              <w:rPr>
                <w:b/>
                <w:bCs/>
                <w:color w:val="808080" w:themeColor="background1" w:themeShade="80"/>
                <w:sz w:val="24"/>
                <w:szCs w:val="24"/>
              </w:rPr>
              <w:fldChar w:fldCharType="end"/>
            </w:r>
          </w:sdtContent>
        </w:sdt>
      </w:sdtContent>
    </w:sdt>
  </w:p>
  <w:p w:rsidR="0030154D" w:rsidRDefault="003015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4FD" w:rsidRDefault="002774FD" w:rsidP="00B706A3">
      <w:pPr>
        <w:spacing w:after="0" w:line="240" w:lineRule="auto"/>
      </w:pPr>
      <w:r>
        <w:separator/>
      </w:r>
    </w:p>
  </w:footnote>
  <w:footnote w:type="continuationSeparator" w:id="0">
    <w:p w:rsidR="002774FD" w:rsidRDefault="002774FD" w:rsidP="00B706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61D" w:rsidRDefault="001E15D7" w:rsidP="00AE461D">
    <w:pPr>
      <w:pStyle w:val="Header"/>
      <w:jc w:val="center"/>
    </w:pPr>
    <w:r>
      <w:rPr>
        <w:b/>
        <w:noProof/>
      </w:rPr>
      <w:drawing>
        <wp:anchor distT="0" distB="0" distL="114300" distR="114300" simplePos="0" relativeHeight="251658240" behindDoc="1" locked="0" layoutInCell="1" allowOverlap="1">
          <wp:simplePos x="0" y="0"/>
          <wp:positionH relativeFrom="column">
            <wp:posOffset>-111125</wp:posOffset>
          </wp:positionH>
          <wp:positionV relativeFrom="paragraph">
            <wp:posOffset>-327025</wp:posOffset>
          </wp:positionV>
          <wp:extent cx="1426210" cy="807085"/>
          <wp:effectExtent l="0" t="0" r="2540" b="0"/>
          <wp:wrapTight wrapText="bothSides">
            <wp:wrapPolygon edited="0">
              <wp:start x="0" y="0"/>
              <wp:lineTo x="0" y="20903"/>
              <wp:lineTo x="21350" y="20903"/>
              <wp:lineTo x="213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FA_Colors_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210" cy="807085"/>
                  </a:xfrm>
                  <a:prstGeom prst="rect">
                    <a:avLst/>
                  </a:prstGeom>
                </pic:spPr>
              </pic:pic>
            </a:graphicData>
          </a:graphic>
          <wp14:sizeRelH relativeFrom="page">
            <wp14:pctWidth>0</wp14:pctWidth>
          </wp14:sizeRelH>
          <wp14:sizeRelV relativeFrom="page">
            <wp14:pctHeight>0</wp14:pctHeight>
          </wp14:sizeRelV>
        </wp:anchor>
      </w:drawing>
    </w:r>
    <w:r w:rsidR="00AE461D" w:rsidRPr="00EA02DE">
      <w:rPr>
        <w:b/>
      </w:rPr>
      <w:t>Crosswalk: Key Messages/Recommendations/Actions/Dashboard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5087"/>
    <w:multiLevelType w:val="multilevel"/>
    <w:tmpl w:val="2DB2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981153"/>
    <w:multiLevelType w:val="multilevel"/>
    <w:tmpl w:val="8B44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C0214F"/>
    <w:multiLevelType w:val="multilevel"/>
    <w:tmpl w:val="00D6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0B1658"/>
    <w:multiLevelType w:val="multilevel"/>
    <w:tmpl w:val="C7A6B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3E365F"/>
    <w:multiLevelType w:val="multilevel"/>
    <w:tmpl w:val="4ED47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717E22"/>
    <w:multiLevelType w:val="multilevel"/>
    <w:tmpl w:val="73783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F5515C"/>
    <w:multiLevelType w:val="multilevel"/>
    <w:tmpl w:val="F73C6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EF2329"/>
    <w:multiLevelType w:val="multilevel"/>
    <w:tmpl w:val="26BA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106205"/>
    <w:multiLevelType w:val="multilevel"/>
    <w:tmpl w:val="2EA84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844B24"/>
    <w:multiLevelType w:val="multilevel"/>
    <w:tmpl w:val="E6FC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873308"/>
    <w:multiLevelType w:val="multilevel"/>
    <w:tmpl w:val="07A46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661189"/>
    <w:multiLevelType w:val="multilevel"/>
    <w:tmpl w:val="B332F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F6163A"/>
    <w:multiLevelType w:val="multilevel"/>
    <w:tmpl w:val="C7A20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801349"/>
    <w:multiLevelType w:val="multilevel"/>
    <w:tmpl w:val="2B829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0D3D6D"/>
    <w:multiLevelType w:val="multilevel"/>
    <w:tmpl w:val="658C4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530244"/>
    <w:multiLevelType w:val="multilevel"/>
    <w:tmpl w:val="3C18D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47129A"/>
    <w:multiLevelType w:val="hybridMultilevel"/>
    <w:tmpl w:val="B47CB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565D88"/>
    <w:multiLevelType w:val="multilevel"/>
    <w:tmpl w:val="E0B4F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39209D"/>
    <w:multiLevelType w:val="multilevel"/>
    <w:tmpl w:val="CDA61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283724"/>
    <w:multiLevelType w:val="multilevel"/>
    <w:tmpl w:val="3B20B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7"/>
  </w:num>
  <w:num w:numId="3">
    <w:abstractNumId w:val="1"/>
  </w:num>
  <w:num w:numId="4">
    <w:abstractNumId w:val="10"/>
  </w:num>
  <w:num w:numId="5">
    <w:abstractNumId w:val="8"/>
  </w:num>
  <w:num w:numId="6">
    <w:abstractNumId w:val="18"/>
  </w:num>
  <w:num w:numId="7">
    <w:abstractNumId w:val="15"/>
  </w:num>
  <w:num w:numId="8">
    <w:abstractNumId w:val="17"/>
  </w:num>
  <w:num w:numId="9">
    <w:abstractNumId w:val="14"/>
  </w:num>
  <w:num w:numId="10">
    <w:abstractNumId w:val="4"/>
  </w:num>
  <w:num w:numId="11">
    <w:abstractNumId w:val="11"/>
  </w:num>
  <w:num w:numId="12">
    <w:abstractNumId w:val="9"/>
  </w:num>
  <w:num w:numId="13">
    <w:abstractNumId w:val="3"/>
  </w:num>
  <w:num w:numId="14">
    <w:abstractNumId w:val="13"/>
  </w:num>
  <w:num w:numId="15">
    <w:abstractNumId w:val="16"/>
  </w:num>
  <w:num w:numId="16">
    <w:abstractNumId w:val="12"/>
  </w:num>
  <w:num w:numId="17">
    <w:abstractNumId w:val="6"/>
  </w:num>
  <w:num w:numId="18">
    <w:abstractNumId w:val="2"/>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676"/>
    <w:rsid w:val="00146DD0"/>
    <w:rsid w:val="001E15D7"/>
    <w:rsid w:val="001F2222"/>
    <w:rsid w:val="002774FD"/>
    <w:rsid w:val="00286377"/>
    <w:rsid w:val="0030154D"/>
    <w:rsid w:val="003608BF"/>
    <w:rsid w:val="004A0F33"/>
    <w:rsid w:val="00536F7D"/>
    <w:rsid w:val="005E46BA"/>
    <w:rsid w:val="00652676"/>
    <w:rsid w:val="006A546D"/>
    <w:rsid w:val="00780901"/>
    <w:rsid w:val="009C033C"/>
    <w:rsid w:val="00AE461D"/>
    <w:rsid w:val="00B706A3"/>
    <w:rsid w:val="00C246DC"/>
    <w:rsid w:val="00C25ABC"/>
    <w:rsid w:val="00D32265"/>
    <w:rsid w:val="00DE2192"/>
    <w:rsid w:val="00E543F3"/>
    <w:rsid w:val="00EA02DE"/>
    <w:rsid w:val="00F24F28"/>
    <w:rsid w:val="00FA0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33C"/>
  </w:style>
  <w:style w:type="paragraph" w:styleId="Heading1">
    <w:name w:val="heading 1"/>
    <w:basedOn w:val="Normal"/>
    <w:next w:val="Normal"/>
    <w:link w:val="Heading1Char"/>
    <w:uiPriority w:val="9"/>
    <w:qFormat/>
    <w:rsid w:val="0030154D"/>
    <w:pPr>
      <w:keepNext/>
      <w:keepLines/>
      <w:spacing w:before="480" w:after="120"/>
      <w:outlineLvl w:val="0"/>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9C033C"/>
    <w:rPr>
      <w:color w:val="0000FF" w:themeColor="hyperlink"/>
      <w:u w:val="single"/>
    </w:rPr>
  </w:style>
  <w:style w:type="table" w:styleId="TableGrid">
    <w:name w:val="Table Grid"/>
    <w:basedOn w:val="TableNormal"/>
    <w:uiPriority w:val="59"/>
    <w:rsid w:val="00652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543F3"/>
    <w:rPr>
      <w:b/>
      <w:bCs/>
    </w:rPr>
  </w:style>
  <w:style w:type="character" w:customStyle="1" w:styleId="apple-converted-space">
    <w:name w:val="apple-converted-space"/>
    <w:basedOn w:val="DefaultParagraphFont"/>
    <w:rsid w:val="00E543F3"/>
  </w:style>
  <w:style w:type="paragraph" w:styleId="NormalWeb">
    <w:name w:val="Normal (Web)"/>
    <w:basedOn w:val="Normal"/>
    <w:uiPriority w:val="99"/>
    <w:semiHidden/>
    <w:unhideWhenUsed/>
    <w:rsid w:val="005E46B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0901"/>
    <w:pPr>
      <w:ind w:left="720"/>
      <w:contextualSpacing/>
    </w:pPr>
  </w:style>
  <w:style w:type="paragraph" w:styleId="Header">
    <w:name w:val="header"/>
    <w:basedOn w:val="Normal"/>
    <w:link w:val="HeaderChar"/>
    <w:uiPriority w:val="99"/>
    <w:unhideWhenUsed/>
    <w:rsid w:val="00B70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6A3"/>
  </w:style>
  <w:style w:type="paragraph" w:styleId="Footer">
    <w:name w:val="footer"/>
    <w:basedOn w:val="Normal"/>
    <w:link w:val="FooterChar"/>
    <w:uiPriority w:val="99"/>
    <w:unhideWhenUsed/>
    <w:rsid w:val="00B70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6A3"/>
  </w:style>
  <w:style w:type="character" w:customStyle="1" w:styleId="Heading1Char">
    <w:name w:val="Heading 1 Char"/>
    <w:basedOn w:val="DefaultParagraphFont"/>
    <w:link w:val="Heading1"/>
    <w:uiPriority w:val="9"/>
    <w:rsid w:val="0030154D"/>
    <w:rPr>
      <w:rFonts w:asciiTheme="majorHAnsi" w:eastAsiaTheme="majorEastAsia" w:hAnsiTheme="majorHAnsi" w:cstheme="majorBidi"/>
      <w:b/>
      <w:bCs/>
      <w:color w:val="365F91" w:themeColor="accent1" w:themeShade="BF"/>
    </w:rPr>
  </w:style>
  <w:style w:type="paragraph" w:styleId="BalloonText">
    <w:name w:val="Balloon Text"/>
    <w:basedOn w:val="Normal"/>
    <w:link w:val="BalloonTextChar"/>
    <w:uiPriority w:val="99"/>
    <w:semiHidden/>
    <w:unhideWhenUsed/>
    <w:rsid w:val="00301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5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33C"/>
  </w:style>
  <w:style w:type="paragraph" w:styleId="Heading1">
    <w:name w:val="heading 1"/>
    <w:basedOn w:val="Normal"/>
    <w:next w:val="Normal"/>
    <w:link w:val="Heading1Char"/>
    <w:uiPriority w:val="9"/>
    <w:qFormat/>
    <w:rsid w:val="0030154D"/>
    <w:pPr>
      <w:keepNext/>
      <w:keepLines/>
      <w:spacing w:before="480" w:after="120"/>
      <w:outlineLvl w:val="0"/>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9C033C"/>
    <w:rPr>
      <w:color w:val="0000FF" w:themeColor="hyperlink"/>
      <w:u w:val="single"/>
    </w:rPr>
  </w:style>
  <w:style w:type="table" w:styleId="TableGrid">
    <w:name w:val="Table Grid"/>
    <w:basedOn w:val="TableNormal"/>
    <w:uiPriority w:val="59"/>
    <w:rsid w:val="00652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543F3"/>
    <w:rPr>
      <w:b/>
      <w:bCs/>
    </w:rPr>
  </w:style>
  <w:style w:type="character" w:customStyle="1" w:styleId="apple-converted-space">
    <w:name w:val="apple-converted-space"/>
    <w:basedOn w:val="DefaultParagraphFont"/>
    <w:rsid w:val="00E543F3"/>
  </w:style>
  <w:style w:type="paragraph" w:styleId="NormalWeb">
    <w:name w:val="Normal (Web)"/>
    <w:basedOn w:val="Normal"/>
    <w:uiPriority w:val="99"/>
    <w:semiHidden/>
    <w:unhideWhenUsed/>
    <w:rsid w:val="005E46B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0901"/>
    <w:pPr>
      <w:ind w:left="720"/>
      <w:contextualSpacing/>
    </w:pPr>
  </w:style>
  <w:style w:type="paragraph" w:styleId="Header">
    <w:name w:val="header"/>
    <w:basedOn w:val="Normal"/>
    <w:link w:val="HeaderChar"/>
    <w:uiPriority w:val="99"/>
    <w:unhideWhenUsed/>
    <w:rsid w:val="00B70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6A3"/>
  </w:style>
  <w:style w:type="paragraph" w:styleId="Footer">
    <w:name w:val="footer"/>
    <w:basedOn w:val="Normal"/>
    <w:link w:val="FooterChar"/>
    <w:uiPriority w:val="99"/>
    <w:unhideWhenUsed/>
    <w:rsid w:val="00B70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6A3"/>
  </w:style>
  <w:style w:type="character" w:customStyle="1" w:styleId="Heading1Char">
    <w:name w:val="Heading 1 Char"/>
    <w:basedOn w:val="DefaultParagraphFont"/>
    <w:link w:val="Heading1"/>
    <w:uiPriority w:val="9"/>
    <w:rsid w:val="0030154D"/>
    <w:rPr>
      <w:rFonts w:asciiTheme="majorHAnsi" w:eastAsiaTheme="majorEastAsia" w:hAnsiTheme="majorHAnsi" w:cstheme="majorBidi"/>
      <w:b/>
      <w:bCs/>
      <w:color w:val="365F91" w:themeColor="accent1" w:themeShade="BF"/>
    </w:rPr>
  </w:style>
  <w:style w:type="paragraph" w:styleId="BalloonText">
    <w:name w:val="Balloon Text"/>
    <w:basedOn w:val="Normal"/>
    <w:link w:val="BalloonTextChar"/>
    <w:uiPriority w:val="99"/>
    <w:semiHidden/>
    <w:unhideWhenUsed/>
    <w:rsid w:val="00301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5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8325">
      <w:bodyDiv w:val="1"/>
      <w:marLeft w:val="0"/>
      <w:marRight w:val="0"/>
      <w:marTop w:val="0"/>
      <w:marBottom w:val="0"/>
      <w:divBdr>
        <w:top w:val="none" w:sz="0" w:space="0" w:color="auto"/>
        <w:left w:val="none" w:sz="0" w:space="0" w:color="auto"/>
        <w:bottom w:val="none" w:sz="0" w:space="0" w:color="auto"/>
        <w:right w:val="none" w:sz="0" w:space="0" w:color="auto"/>
      </w:divBdr>
    </w:div>
    <w:div w:id="201938385">
      <w:bodyDiv w:val="1"/>
      <w:marLeft w:val="0"/>
      <w:marRight w:val="0"/>
      <w:marTop w:val="0"/>
      <w:marBottom w:val="0"/>
      <w:divBdr>
        <w:top w:val="none" w:sz="0" w:space="0" w:color="auto"/>
        <w:left w:val="none" w:sz="0" w:space="0" w:color="auto"/>
        <w:bottom w:val="none" w:sz="0" w:space="0" w:color="auto"/>
        <w:right w:val="none" w:sz="0" w:space="0" w:color="auto"/>
      </w:divBdr>
    </w:div>
    <w:div w:id="323632618">
      <w:bodyDiv w:val="1"/>
      <w:marLeft w:val="0"/>
      <w:marRight w:val="0"/>
      <w:marTop w:val="0"/>
      <w:marBottom w:val="0"/>
      <w:divBdr>
        <w:top w:val="none" w:sz="0" w:space="0" w:color="auto"/>
        <w:left w:val="none" w:sz="0" w:space="0" w:color="auto"/>
        <w:bottom w:val="none" w:sz="0" w:space="0" w:color="auto"/>
        <w:right w:val="none" w:sz="0" w:space="0" w:color="auto"/>
      </w:divBdr>
    </w:div>
    <w:div w:id="342440556">
      <w:bodyDiv w:val="1"/>
      <w:marLeft w:val="0"/>
      <w:marRight w:val="0"/>
      <w:marTop w:val="0"/>
      <w:marBottom w:val="0"/>
      <w:divBdr>
        <w:top w:val="none" w:sz="0" w:space="0" w:color="auto"/>
        <w:left w:val="none" w:sz="0" w:space="0" w:color="auto"/>
        <w:bottom w:val="none" w:sz="0" w:space="0" w:color="auto"/>
        <w:right w:val="none" w:sz="0" w:space="0" w:color="auto"/>
      </w:divBdr>
    </w:div>
    <w:div w:id="384183956">
      <w:bodyDiv w:val="1"/>
      <w:marLeft w:val="0"/>
      <w:marRight w:val="0"/>
      <w:marTop w:val="0"/>
      <w:marBottom w:val="0"/>
      <w:divBdr>
        <w:top w:val="none" w:sz="0" w:space="0" w:color="auto"/>
        <w:left w:val="none" w:sz="0" w:space="0" w:color="auto"/>
        <w:bottom w:val="none" w:sz="0" w:space="0" w:color="auto"/>
        <w:right w:val="none" w:sz="0" w:space="0" w:color="auto"/>
      </w:divBdr>
    </w:div>
    <w:div w:id="450904707">
      <w:bodyDiv w:val="1"/>
      <w:marLeft w:val="0"/>
      <w:marRight w:val="0"/>
      <w:marTop w:val="0"/>
      <w:marBottom w:val="0"/>
      <w:divBdr>
        <w:top w:val="none" w:sz="0" w:space="0" w:color="auto"/>
        <w:left w:val="none" w:sz="0" w:space="0" w:color="auto"/>
        <w:bottom w:val="none" w:sz="0" w:space="0" w:color="auto"/>
        <w:right w:val="none" w:sz="0" w:space="0" w:color="auto"/>
      </w:divBdr>
    </w:div>
    <w:div w:id="470103294">
      <w:bodyDiv w:val="1"/>
      <w:marLeft w:val="0"/>
      <w:marRight w:val="0"/>
      <w:marTop w:val="0"/>
      <w:marBottom w:val="0"/>
      <w:divBdr>
        <w:top w:val="none" w:sz="0" w:space="0" w:color="auto"/>
        <w:left w:val="none" w:sz="0" w:space="0" w:color="auto"/>
        <w:bottom w:val="none" w:sz="0" w:space="0" w:color="auto"/>
        <w:right w:val="none" w:sz="0" w:space="0" w:color="auto"/>
      </w:divBdr>
    </w:div>
    <w:div w:id="664356965">
      <w:bodyDiv w:val="1"/>
      <w:marLeft w:val="0"/>
      <w:marRight w:val="0"/>
      <w:marTop w:val="0"/>
      <w:marBottom w:val="0"/>
      <w:divBdr>
        <w:top w:val="none" w:sz="0" w:space="0" w:color="auto"/>
        <w:left w:val="none" w:sz="0" w:space="0" w:color="auto"/>
        <w:bottom w:val="none" w:sz="0" w:space="0" w:color="auto"/>
        <w:right w:val="none" w:sz="0" w:space="0" w:color="auto"/>
      </w:divBdr>
    </w:div>
    <w:div w:id="670331609">
      <w:bodyDiv w:val="1"/>
      <w:marLeft w:val="0"/>
      <w:marRight w:val="0"/>
      <w:marTop w:val="0"/>
      <w:marBottom w:val="0"/>
      <w:divBdr>
        <w:top w:val="none" w:sz="0" w:space="0" w:color="auto"/>
        <w:left w:val="none" w:sz="0" w:space="0" w:color="auto"/>
        <w:bottom w:val="none" w:sz="0" w:space="0" w:color="auto"/>
        <w:right w:val="none" w:sz="0" w:space="0" w:color="auto"/>
      </w:divBdr>
    </w:div>
    <w:div w:id="951546676">
      <w:bodyDiv w:val="1"/>
      <w:marLeft w:val="0"/>
      <w:marRight w:val="0"/>
      <w:marTop w:val="0"/>
      <w:marBottom w:val="0"/>
      <w:divBdr>
        <w:top w:val="none" w:sz="0" w:space="0" w:color="auto"/>
        <w:left w:val="none" w:sz="0" w:space="0" w:color="auto"/>
        <w:bottom w:val="none" w:sz="0" w:space="0" w:color="auto"/>
        <w:right w:val="none" w:sz="0" w:space="0" w:color="auto"/>
      </w:divBdr>
    </w:div>
    <w:div w:id="1097361846">
      <w:bodyDiv w:val="1"/>
      <w:marLeft w:val="0"/>
      <w:marRight w:val="0"/>
      <w:marTop w:val="0"/>
      <w:marBottom w:val="0"/>
      <w:divBdr>
        <w:top w:val="none" w:sz="0" w:space="0" w:color="auto"/>
        <w:left w:val="none" w:sz="0" w:space="0" w:color="auto"/>
        <w:bottom w:val="none" w:sz="0" w:space="0" w:color="auto"/>
        <w:right w:val="none" w:sz="0" w:space="0" w:color="auto"/>
      </w:divBdr>
    </w:div>
    <w:div w:id="1212693481">
      <w:bodyDiv w:val="1"/>
      <w:marLeft w:val="0"/>
      <w:marRight w:val="0"/>
      <w:marTop w:val="0"/>
      <w:marBottom w:val="0"/>
      <w:divBdr>
        <w:top w:val="none" w:sz="0" w:space="0" w:color="auto"/>
        <w:left w:val="none" w:sz="0" w:space="0" w:color="auto"/>
        <w:bottom w:val="none" w:sz="0" w:space="0" w:color="auto"/>
        <w:right w:val="none" w:sz="0" w:space="0" w:color="auto"/>
      </w:divBdr>
    </w:div>
    <w:div w:id="1218471122">
      <w:bodyDiv w:val="1"/>
      <w:marLeft w:val="0"/>
      <w:marRight w:val="0"/>
      <w:marTop w:val="0"/>
      <w:marBottom w:val="0"/>
      <w:divBdr>
        <w:top w:val="none" w:sz="0" w:space="0" w:color="auto"/>
        <w:left w:val="none" w:sz="0" w:space="0" w:color="auto"/>
        <w:bottom w:val="none" w:sz="0" w:space="0" w:color="auto"/>
        <w:right w:val="none" w:sz="0" w:space="0" w:color="auto"/>
      </w:divBdr>
    </w:div>
    <w:div w:id="1276717081">
      <w:bodyDiv w:val="1"/>
      <w:marLeft w:val="0"/>
      <w:marRight w:val="0"/>
      <w:marTop w:val="0"/>
      <w:marBottom w:val="0"/>
      <w:divBdr>
        <w:top w:val="none" w:sz="0" w:space="0" w:color="auto"/>
        <w:left w:val="none" w:sz="0" w:space="0" w:color="auto"/>
        <w:bottom w:val="none" w:sz="0" w:space="0" w:color="auto"/>
        <w:right w:val="none" w:sz="0" w:space="0" w:color="auto"/>
      </w:divBdr>
    </w:div>
    <w:div w:id="1856724299">
      <w:bodyDiv w:val="1"/>
      <w:marLeft w:val="0"/>
      <w:marRight w:val="0"/>
      <w:marTop w:val="0"/>
      <w:marBottom w:val="0"/>
      <w:divBdr>
        <w:top w:val="none" w:sz="0" w:space="0" w:color="auto"/>
        <w:left w:val="none" w:sz="0" w:space="0" w:color="auto"/>
        <w:bottom w:val="none" w:sz="0" w:space="0" w:color="auto"/>
        <w:right w:val="none" w:sz="0" w:space="0" w:color="auto"/>
      </w:divBdr>
    </w:div>
    <w:div w:id="1927299621">
      <w:bodyDiv w:val="1"/>
      <w:marLeft w:val="0"/>
      <w:marRight w:val="0"/>
      <w:marTop w:val="0"/>
      <w:marBottom w:val="0"/>
      <w:divBdr>
        <w:top w:val="none" w:sz="0" w:space="0" w:color="auto"/>
        <w:left w:val="none" w:sz="0" w:space="0" w:color="auto"/>
        <w:bottom w:val="none" w:sz="0" w:space="0" w:color="auto"/>
        <w:right w:val="none" w:sz="0" w:space="0" w:color="auto"/>
      </w:divBdr>
    </w:div>
    <w:div w:id="1963610657">
      <w:bodyDiv w:val="1"/>
      <w:marLeft w:val="0"/>
      <w:marRight w:val="0"/>
      <w:marTop w:val="0"/>
      <w:marBottom w:val="0"/>
      <w:divBdr>
        <w:top w:val="none" w:sz="0" w:space="0" w:color="auto"/>
        <w:left w:val="none" w:sz="0" w:space="0" w:color="auto"/>
        <w:bottom w:val="none" w:sz="0" w:space="0" w:color="auto"/>
        <w:right w:val="none" w:sz="0" w:space="0" w:color="auto"/>
      </w:divBdr>
    </w:div>
    <w:div w:id="202489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2341</Words>
  <Characters>13350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Ray</dc:creator>
  <cp:lastModifiedBy>Leslie Ray</cp:lastModifiedBy>
  <cp:revision>2</cp:revision>
  <cp:lastPrinted>2014-12-30T16:53:00Z</cp:lastPrinted>
  <dcterms:created xsi:type="dcterms:W3CDTF">2014-12-30T18:59:00Z</dcterms:created>
  <dcterms:modified xsi:type="dcterms:W3CDTF">2014-12-30T18:59:00Z</dcterms:modified>
</cp:coreProperties>
</file>